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8148EC" w:rsidRDefault="0038190F" w:rsidP="00445C0B">
      <w:pPr>
        <w:jc w:val="both"/>
        <w:rPr>
          <w:sz w:val="28"/>
          <w:szCs w:val="28"/>
        </w:rPr>
      </w:pPr>
      <w:r w:rsidRPr="0038190F">
        <w:rPr>
          <w:sz w:val="28"/>
          <w:szCs w:val="28"/>
        </w:rPr>
        <w:t>28</w:t>
      </w:r>
      <w:r>
        <w:rPr>
          <w:sz w:val="28"/>
          <w:szCs w:val="28"/>
        </w:rPr>
        <w:t>.02.2014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11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7C0DD7" w:rsidRPr="007C0DD7" w:rsidRDefault="008148EC" w:rsidP="007C0DD7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C0DD7">
        <w:rPr>
          <w:rFonts w:ascii="Times New Roman" w:hAnsi="Times New Roman" w:cs="Times New Roman"/>
          <w:sz w:val="28"/>
          <w:szCs w:val="28"/>
        </w:rPr>
        <w:t>О</w:t>
      </w:r>
      <w:r w:rsidR="007C0DD7" w:rsidRPr="007C0DD7">
        <w:rPr>
          <w:rFonts w:ascii="Times New Roman" w:hAnsi="Times New Roman" w:cs="Times New Roman"/>
          <w:sz w:val="28"/>
          <w:szCs w:val="28"/>
        </w:rPr>
        <w:t>б утверждении Положение</w:t>
      </w:r>
    </w:p>
    <w:p w:rsidR="007C0DD7" w:rsidRPr="007C0DD7" w:rsidRDefault="007C0DD7" w:rsidP="007C0DD7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C0DD7">
        <w:rPr>
          <w:rFonts w:ascii="Times New Roman" w:hAnsi="Times New Roman" w:cs="Times New Roman"/>
          <w:sz w:val="28"/>
          <w:szCs w:val="28"/>
        </w:rPr>
        <w:t>о системе критериев доступности для потребителей товаров</w:t>
      </w:r>
    </w:p>
    <w:p w:rsidR="00445C0B" w:rsidRDefault="007C0DD7" w:rsidP="007C0DD7">
      <w:pPr>
        <w:jc w:val="center"/>
        <w:rPr>
          <w:sz w:val="28"/>
          <w:szCs w:val="28"/>
        </w:rPr>
      </w:pPr>
      <w:r w:rsidRPr="007C0DD7">
        <w:rPr>
          <w:b/>
          <w:sz w:val="28"/>
          <w:szCs w:val="28"/>
        </w:rPr>
        <w:t>и услуг организаций коммунального комплекса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0DD7" w:rsidRDefault="00445C0B" w:rsidP="007C0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DD7">
        <w:rPr>
          <w:sz w:val="28"/>
          <w:szCs w:val="28"/>
        </w:rPr>
        <w:t>В</w:t>
      </w:r>
      <w:r w:rsidR="007C0DD7" w:rsidRPr="0090657C">
        <w:rPr>
          <w:sz w:val="28"/>
          <w:szCs w:val="28"/>
        </w:rPr>
        <w:t xml:space="preserve"> соответствии с</w:t>
      </w:r>
      <w:r w:rsidR="007C0DD7">
        <w:rPr>
          <w:sz w:val="28"/>
          <w:szCs w:val="28"/>
        </w:rPr>
        <w:t xml:space="preserve"> постановлением Правительства Российской Федерации от 14 июля 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</w:t>
      </w:r>
      <w:r w:rsidR="007C0DD7" w:rsidRPr="0090657C">
        <w:rPr>
          <w:sz w:val="28"/>
          <w:szCs w:val="28"/>
        </w:rPr>
        <w:t xml:space="preserve"> Федеральным </w:t>
      </w:r>
      <w:hyperlink r:id="rId6" w:history="1">
        <w:r w:rsidR="007C0DD7" w:rsidRPr="007C0DD7">
          <w:rPr>
            <w:color w:val="000000" w:themeColor="text1"/>
            <w:sz w:val="28"/>
            <w:szCs w:val="28"/>
          </w:rPr>
          <w:t>законом</w:t>
        </w:r>
      </w:hyperlink>
      <w:r w:rsidR="007C0DD7" w:rsidRPr="0090657C">
        <w:rPr>
          <w:sz w:val="28"/>
          <w:szCs w:val="28"/>
        </w:rPr>
        <w:t xml:space="preserve"> от 30.12.2004 N 210-ФЗ "Об основах регулирования тарифов организаций коммунального комплекса"</w:t>
      </w:r>
      <w:r>
        <w:rPr>
          <w:sz w:val="28"/>
          <w:szCs w:val="28"/>
        </w:rPr>
        <w:t xml:space="preserve">  </w:t>
      </w:r>
      <w:r w:rsidR="007C0DD7">
        <w:rPr>
          <w:sz w:val="28"/>
          <w:szCs w:val="28"/>
        </w:rPr>
        <w:t>постановляю:</w:t>
      </w:r>
    </w:p>
    <w:p w:rsidR="007C0DD7" w:rsidRDefault="007C0DD7" w:rsidP="007C0D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системе критериев доступности для потребителей товаров и услуг организаций коммунального комплекса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445C0B" w:rsidRDefault="00445C0B" w:rsidP="007C0D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7C0DD7">
        <w:rPr>
          <w:sz w:val="28"/>
          <w:szCs w:val="28"/>
        </w:rPr>
        <w:t>Контроль за</w:t>
      </w:r>
      <w:proofErr w:type="gramEnd"/>
      <w:r w:rsidRPr="007C0DD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Pr="007C0DD7" w:rsidRDefault="00445C0B" w:rsidP="007C0D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C0DD7">
        <w:rPr>
          <w:sz w:val="28"/>
          <w:szCs w:val="28"/>
        </w:rPr>
        <w:t xml:space="preserve"> Постановление вступает в силу </w:t>
      </w:r>
      <w:r w:rsidR="007C0DD7" w:rsidRPr="007C0DD7">
        <w:rPr>
          <w:sz w:val="28"/>
          <w:szCs w:val="28"/>
        </w:rPr>
        <w:t>после его официального опубликования (обнародования), на правоотношения</w:t>
      </w:r>
      <w:r w:rsidR="003B19B3">
        <w:rPr>
          <w:sz w:val="28"/>
          <w:szCs w:val="28"/>
        </w:rPr>
        <w:t>,</w:t>
      </w:r>
      <w:r w:rsidR="007C0DD7" w:rsidRPr="007C0DD7">
        <w:rPr>
          <w:sz w:val="28"/>
          <w:szCs w:val="28"/>
        </w:rPr>
        <w:t xml:space="preserve"> возникшие с 01 марта 2014 года</w:t>
      </w:r>
      <w:r w:rsidRPr="007C0DD7">
        <w:rPr>
          <w:sz w:val="28"/>
          <w:szCs w:val="28"/>
        </w:rPr>
        <w:t>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3B19B3" w:rsidRDefault="00445C0B" w:rsidP="003B19B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3B19B3">
        <w:rPr>
          <w:sz w:val="28"/>
          <w:szCs w:val="28"/>
        </w:rPr>
        <w:t xml:space="preserve">отдел экономического анализа, прогнозирования, развития     </w:t>
      </w:r>
    </w:p>
    <w:p w:rsidR="003B19B3" w:rsidRDefault="003B19B3" w:rsidP="003B1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потребительского рынка, предпринимательства</w:t>
      </w:r>
      <w:r w:rsidR="00445C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</w:t>
      </w:r>
    </w:p>
    <w:p w:rsidR="00445C0B" w:rsidRDefault="003B19B3" w:rsidP="003B19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района, прокурору района, </w:t>
      </w:r>
      <w:r w:rsidR="00445C0B">
        <w:rPr>
          <w:sz w:val="28"/>
          <w:szCs w:val="28"/>
        </w:rPr>
        <w:t>в дело</w:t>
      </w:r>
    </w:p>
    <w:p w:rsidR="00445C0B" w:rsidRDefault="00445C0B" w:rsidP="00445C0B"/>
    <w:p w:rsidR="00BA116E" w:rsidRDefault="00BA116E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7C0DD7" w:rsidP="00445C0B"/>
    <w:p w:rsidR="007C0DD7" w:rsidRDefault="003B19B3" w:rsidP="003B19B3">
      <w:pPr>
        <w:jc w:val="right"/>
        <w:rPr>
          <w:sz w:val="28"/>
          <w:szCs w:val="28"/>
        </w:rPr>
      </w:pPr>
      <w:r w:rsidRPr="003B19B3">
        <w:rPr>
          <w:sz w:val="28"/>
          <w:szCs w:val="28"/>
        </w:rPr>
        <w:lastRenderedPageBreak/>
        <w:t>Приложение  к постановлению</w:t>
      </w:r>
    </w:p>
    <w:p w:rsidR="003B19B3" w:rsidRPr="003B19B3" w:rsidRDefault="003B19B3" w:rsidP="003B19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8190F">
        <w:rPr>
          <w:sz w:val="28"/>
          <w:szCs w:val="28"/>
        </w:rPr>
        <w:t xml:space="preserve">28.02.2014 </w:t>
      </w:r>
      <w:r>
        <w:rPr>
          <w:sz w:val="28"/>
          <w:szCs w:val="28"/>
        </w:rPr>
        <w:t xml:space="preserve"> № </w:t>
      </w:r>
      <w:r w:rsidR="0038190F">
        <w:rPr>
          <w:sz w:val="28"/>
          <w:szCs w:val="28"/>
        </w:rPr>
        <w:t>11</w:t>
      </w:r>
      <w:bookmarkStart w:id="0" w:name="_GoBack"/>
      <w:bookmarkEnd w:id="0"/>
    </w:p>
    <w:p w:rsidR="003B19B3" w:rsidRDefault="003B19B3" w:rsidP="007C0DD7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C0DD7" w:rsidRPr="0090657C" w:rsidRDefault="007C0DD7" w:rsidP="007C0DD7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0657C">
        <w:rPr>
          <w:rFonts w:ascii="Times New Roman" w:hAnsi="Times New Roman" w:cs="Times New Roman"/>
          <w:sz w:val="28"/>
          <w:szCs w:val="28"/>
        </w:rPr>
        <w:t>Положение</w:t>
      </w:r>
    </w:p>
    <w:p w:rsidR="007C0DD7" w:rsidRPr="0090657C" w:rsidRDefault="007C0DD7" w:rsidP="007C0DD7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0657C">
        <w:rPr>
          <w:rFonts w:ascii="Times New Roman" w:hAnsi="Times New Roman" w:cs="Times New Roman"/>
          <w:sz w:val="28"/>
          <w:szCs w:val="28"/>
        </w:rPr>
        <w:t>о системе критериев доступности для потребителей товаров</w:t>
      </w:r>
    </w:p>
    <w:p w:rsidR="007C0DD7" w:rsidRPr="0090657C" w:rsidRDefault="007C0DD7" w:rsidP="007C0DD7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0657C">
        <w:rPr>
          <w:rFonts w:ascii="Times New Roman" w:hAnsi="Times New Roman" w:cs="Times New Roman"/>
          <w:sz w:val="28"/>
          <w:szCs w:val="28"/>
        </w:rPr>
        <w:t>и услуг организаций коммунального комплекса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7C0DD7" w:rsidRPr="003B19B3" w:rsidRDefault="007C0DD7" w:rsidP="003B19B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9B3">
        <w:rPr>
          <w:b/>
          <w:sz w:val="28"/>
          <w:szCs w:val="28"/>
        </w:rPr>
        <w:t>Общие положения</w:t>
      </w:r>
    </w:p>
    <w:p w:rsidR="003B19B3" w:rsidRPr="003B19B3" w:rsidRDefault="003B19B3" w:rsidP="003B19B3">
      <w:pPr>
        <w:pStyle w:val="a3"/>
        <w:widowControl w:val="0"/>
        <w:autoSpaceDE w:val="0"/>
        <w:autoSpaceDN w:val="0"/>
        <w:adjustRightInd w:val="0"/>
        <w:ind w:left="644"/>
        <w:outlineLvl w:val="1"/>
        <w:rPr>
          <w:b/>
          <w:sz w:val="28"/>
          <w:szCs w:val="28"/>
        </w:rPr>
      </w:pP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 </w:t>
      </w:r>
      <w:proofErr w:type="gramStart"/>
      <w:r w:rsidRPr="0090657C">
        <w:rPr>
          <w:sz w:val="28"/>
          <w:szCs w:val="28"/>
        </w:rPr>
        <w:t xml:space="preserve">Настоящее Положение о системе критериев доступности для потребителей товаров и услуг организаций коммунального комплекса (далее - Положение) разработано в соответствии с Федеральным </w:t>
      </w:r>
      <w:hyperlink r:id="rId7" w:history="1">
        <w:r w:rsidRPr="003B19B3">
          <w:rPr>
            <w:color w:val="000000" w:themeColor="text1"/>
            <w:sz w:val="28"/>
            <w:szCs w:val="28"/>
          </w:rPr>
          <w:t>законом</w:t>
        </w:r>
      </w:hyperlink>
      <w:r w:rsidRPr="003B19B3">
        <w:rPr>
          <w:color w:val="000000" w:themeColor="text1"/>
          <w:sz w:val="28"/>
          <w:szCs w:val="28"/>
        </w:rPr>
        <w:t xml:space="preserve"> </w:t>
      </w:r>
      <w:r w:rsidRPr="0090657C">
        <w:rPr>
          <w:sz w:val="28"/>
          <w:szCs w:val="28"/>
        </w:rPr>
        <w:t>от 30.12.2004 N 210-ФЗ "Об основах регулирования тарифов организаций коммунального комплекса" (далее - Федеральный закон) и определяет систему критериев, используемых для определения доступности для потребителей товаров и услуг организаций коммунального комплекса (далее - критерии доступности товаров и услуг), порядок их</w:t>
      </w:r>
      <w:proofErr w:type="gramEnd"/>
      <w:r w:rsidRPr="0090657C">
        <w:rPr>
          <w:sz w:val="28"/>
          <w:szCs w:val="28"/>
        </w:rPr>
        <w:t xml:space="preserve"> расчета и применения.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 </w:t>
      </w:r>
      <w:r w:rsidRPr="0090657C">
        <w:rPr>
          <w:sz w:val="28"/>
          <w:szCs w:val="28"/>
        </w:rPr>
        <w:t>Настоящее Положение распространяется на потребителей в жилищном секторе, приобретающих товары и услуги организаций коммунального комплекса для собственных хозяйственно-бытовых нужд (далее - население).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  </w:t>
      </w:r>
      <w:r w:rsidRPr="0090657C">
        <w:rPr>
          <w:sz w:val="28"/>
          <w:szCs w:val="28"/>
        </w:rPr>
        <w:t>Анализ доступности для населения товаров и услуг организаций коммунального комплекса осуществляется в отношении организаций коммунального комплекса, осуществляющих эксплуатацию систем коммунальной инфраструктуры, используемых в сфере водоснабжения, водоотведения и очистки сточных вод, утилизации (захоронения) твердых бытовых отходов в части установления цен (тарифов) и надбавок к цене (тарифу) для потребителей.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>Настоящее Положение применяется при согласовании производственных программ организаций коммунального комплекса и установлении тарифов на товары и услуги этих организаций, при определении доступности для населения товаров и услуг организаций коммунального комплекса с учетом надбавки к ценам (тарифам) для населения.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   </w:t>
      </w:r>
      <w:r w:rsidRPr="0090657C">
        <w:rPr>
          <w:sz w:val="28"/>
          <w:szCs w:val="28"/>
        </w:rPr>
        <w:t>Органы местного самоуправления при осуществлении полномочий в области регулирования тарифов на товары и услуги организаций коммунального комплекса осуществляют анализ доступности для населения товаров и услуг организаций коммунального комплекса с учетом информации, предоставляемой организацией коммунального комплекса.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   </w:t>
      </w:r>
      <w:r w:rsidRPr="0090657C">
        <w:rPr>
          <w:sz w:val="28"/>
          <w:szCs w:val="28"/>
        </w:rPr>
        <w:t xml:space="preserve">Организации коммунального комплекса представляют в органы регулирования информацию по критериям экономической и физической доступности для населения товаров и услуг организаций коммунального комплекса одновременно с документами и обосновывающими </w:t>
      </w:r>
      <w:r w:rsidRPr="0090657C">
        <w:rPr>
          <w:sz w:val="28"/>
          <w:szCs w:val="28"/>
        </w:rPr>
        <w:lastRenderedPageBreak/>
        <w:t>материалами для установления тарифов на товары и услуги организаций коммунального комплекса.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   </w:t>
      </w:r>
      <w:r w:rsidRPr="0090657C">
        <w:rPr>
          <w:sz w:val="28"/>
          <w:szCs w:val="28"/>
        </w:rPr>
        <w:t>Критерии доступности товаров и услуг, указанные в настоящем Положении, подлежат пересмотру в случаях и порядке, установленном законодательством Российской Федерации.</w:t>
      </w:r>
    </w:p>
    <w:p w:rsidR="003B19B3" w:rsidRDefault="003B19B3" w:rsidP="007C0DD7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p w:rsidR="007C0DD7" w:rsidRPr="00EC6AEE" w:rsidRDefault="007C0DD7" w:rsidP="007C0DD7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EC6AEE">
        <w:rPr>
          <w:b/>
          <w:sz w:val="28"/>
          <w:szCs w:val="28"/>
        </w:rPr>
        <w:t>2. Критерии, используемые для определения доступности</w:t>
      </w:r>
    </w:p>
    <w:p w:rsidR="007C0DD7" w:rsidRPr="00EC6AEE" w:rsidRDefault="007C0DD7" w:rsidP="007C0DD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C6AEE">
        <w:rPr>
          <w:b/>
          <w:sz w:val="28"/>
          <w:szCs w:val="28"/>
        </w:rPr>
        <w:t>для населения товаров и услуг организаций</w:t>
      </w:r>
    </w:p>
    <w:p w:rsidR="007C0DD7" w:rsidRDefault="007C0DD7" w:rsidP="007C0DD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C6AEE">
        <w:rPr>
          <w:b/>
          <w:sz w:val="28"/>
          <w:szCs w:val="28"/>
        </w:rPr>
        <w:t>коммунального комплекса</w:t>
      </w:r>
    </w:p>
    <w:p w:rsidR="003B19B3" w:rsidRPr="00EC6AEE" w:rsidRDefault="003B19B3" w:rsidP="007C0DD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bookmarkStart w:id="1" w:name="Par53"/>
      <w:bookmarkEnd w:id="1"/>
      <w:r w:rsidRPr="0090657C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>Система доступности для населения товаров и услуг организаций коммунального комплекса включает в себя критерии, характеризующие: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физическую доступность товаров и услуг;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экономическую доступность товаров и услуг;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информационную доступность услуг.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 xml:space="preserve">Критерии доступности, указанные в </w:t>
      </w:r>
      <w:r>
        <w:rPr>
          <w:sz w:val="28"/>
          <w:szCs w:val="28"/>
        </w:rPr>
        <w:t>п.2.1. н</w:t>
      </w:r>
      <w:r w:rsidRPr="0090657C">
        <w:rPr>
          <w:sz w:val="28"/>
          <w:szCs w:val="28"/>
        </w:rPr>
        <w:t xml:space="preserve">астоящего Положения, определяются отдельно по каждому товару и услуге, </w:t>
      </w:r>
      <w:proofErr w:type="gramStart"/>
      <w:r w:rsidRPr="0090657C">
        <w:rPr>
          <w:sz w:val="28"/>
          <w:szCs w:val="28"/>
        </w:rPr>
        <w:t>предоставляемым</w:t>
      </w:r>
      <w:proofErr w:type="gramEnd"/>
      <w:r w:rsidRPr="0090657C">
        <w:rPr>
          <w:sz w:val="28"/>
          <w:szCs w:val="28"/>
        </w:rPr>
        <w:t xml:space="preserve"> организациями коммунального комплекса.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>Критерий информационной доступности товаров и услуг организации коммунального комплекса обеспечивается путем опубликования правовых актов об установлении тарифов в средствах массовой информации.</w:t>
      </w:r>
    </w:p>
    <w:p w:rsidR="003B19B3" w:rsidRDefault="003B19B3" w:rsidP="007C0DD7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p w:rsidR="007C0DD7" w:rsidRPr="00EC6AEE" w:rsidRDefault="007C0DD7" w:rsidP="007C0DD7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EC6AEE">
        <w:rPr>
          <w:b/>
          <w:sz w:val="28"/>
          <w:szCs w:val="28"/>
        </w:rPr>
        <w:t>3. Определение физической доступности для населения</w:t>
      </w:r>
    </w:p>
    <w:p w:rsidR="007C0DD7" w:rsidRDefault="007C0DD7" w:rsidP="007C0DD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C6AEE">
        <w:rPr>
          <w:b/>
          <w:sz w:val="28"/>
          <w:szCs w:val="28"/>
        </w:rPr>
        <w:t>товаров и услуг организаций коммунального комплекса</w:t>
      </w:r>
    </w:p>
    <w:p w:rsidR="003B19B3" w:rsidRPr="00EC6AEE" w:rsidRDefault="003B19B3" w:rsidP="007C0DD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>Критерий физической доступности для населения товаров и услуг организаций коммунального комплекса определяет обеспечение предоставления требуемого объема товаров и услуг, возможность обслуживания новых потребителей в соответствии с производственными программами организаций коммунального комплекса, утвержденными в порядке, установленном законодательством Российской Федерации.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>Критерий физической доступности товаров и услуг определяется на основании анализа достаточности и качества предоставления товаров и услуг.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 xml:space="preserve">Анализ достаточности и качества предоставляемых товаров и услуг организаций коммунального комплекса отражает соответствие технических параметров производственной программы к фактическому потреблению коммунальных услуг населением и оценивается на основании </w:t>
      </w:r>
      <w:proofErr w:type="gramStart"/>
      <w:r w:rsidRPr="0090657C">
        <w:rPr>
          <w:sz w:val="28"/>
          <w:szCs w:val="28"/>
        </w:rPr>
        <w:t>коэффициента соответствия параметров производственной программы организаций коммунального комплекса</w:t>
      </w:r>
      <w:proofErr w:type="gramEnd"/>
      <w:r w:rsidRPr="0090657C">
        <w:rPr>
          <w:sz w:val="28"/>
          <w:szCs w:val="28"/>
        </w:rPr>
        <w:t xml:space="preserve"> нормативным параметрам качества услуг, установленным законодательством Российской Федерации.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  </w:t>
      </w:r>
      <w:r w:rsidRPr="0090657C">
        <w:rPr>
          <w:sz w:val="28"/>
          <w:szCs w:val="28"/>
        </w:rPr>
        <w:t>Коэффициент физической доступности услуг водоснабжения, водоотведения и очистки сточных вод, утилизации (захоронения) твердых бытовых отходов определяется по формуле:</w:t>
      </w:r>
    </w:p>
    <w:p w:rsidR="007C0DD7" w:rsidRPr="0090657C" w:rsidRDefault="007C0DD7" w:rsidP="007C0DD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90657C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spellStart"/>
      <w:proofErr w:type="gramStart"/>
      <w:r w:rsidRPr="0090657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0657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657C">
        <w:rPr>
          <w:rFonts w:ascii="Times New Roman" w:hAnsi="Times New Roman" w:cs="Times New Roman"/>
          <w:sz w:val="28"/>
          <w:szCs w:val="28"/>
        </w:rPr>
        <w:t xml:space="preserve"> x 100</w:t>
      </w:r>
    </w:p>
    <w:p w:rsidR="007C0DD7" w:rsidRPr="0090657C" w:rsidRDefault="007C0DD7" w:rsidP="007C0DD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90657C">
        <w:rPr>
          <w:rFonts w:ascii="Times New Roman" w:hAnsi="Times New Roman" w:cs="Times New Roman"/>
          <w:sz w:val="28"/>
          <w:szCs w:val="28"/>
        </w:rPr>
        <w:t xml:space="preserve">    К(i)</w:t>
      </w:r>
      <w:proofErr w:type="spellStart"/>
      <w:r w:rsidRPr="0090657C">
        <w:rPr>
          <w:rFonts w:ascii="Times New Roman" w:hAnsi="Times New Roman" w:cs="Times New Roman"/>
          <w:sz w:val="28"/>
          <w:szCs w:val="28"/>
        </w:rPr>
        <w:t>кфд</w:t>
      </w:r>
      <w:proofErr w:type="spellEnd"/>
      <w:r w:rsidRPr="0090657C">
        <w:rPr>
          <w:rFonts w:ascii="Times New Roman" w:hAnsi="Times New Roman" w:cs="Times New Roman"/>
          <w:sz w:val="28"/>
          <w:szCs w:val="28"/>
        </w:rPr>
        <w:t xml:space="preserve"> = -----------; где:</w:t>
      </w:r>
    </w:p>
    <w:p w:rsidR="007C0DD7" w:rsidRPr="0090657C" w:rsidRDefault="007C0DD7" w:rsidP="007C0DD7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90657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0657C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0657C">
        <w:rPr>
          <w:rFonts w:ascii="Times New Roman" w:hAnsi="Times New Roman" w:cs="Times New Roman"/>
          <w:sz w:val="28"/>
          <w:szCs w:val="28"/>
        </w:rPr>
        <w:t xml:space="preserve"> x Ч x 12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К(i)</w:t>
      </w:r>
      <w:proofErr w:type="spellStart"/>
      <w:r w:rsidRPr="0090657C">
        <w:rPr>
          <w:sz w:val="28"/>
          <w:szCs w:val="28"/>
        </w:rPr>
        <w:t>кфд</w:t>
      </w:r>
      <w:proofErr w:type="spellEnd"/>
      <w:r w:rsidRPr="0090657C">
        <w:rPr>
          <w:sz w:val="28"/>
          <w:szCs w:val="28"/>
        </w:rPr>
        <w:t xml:space="preserve"> - коэффициент физической доступности i-услуги</w:t>
      </w:r>
      <w:proofErr w:type="gramStart"/>
      <w:r w:rsidRPr="0090657C">
        <w:rPr>
          <w:sz w:val="28"/>
          <w:szCs w:val="28"/>
        </w:rPr>
        <w:t>, %;</w:t>
      </w:r>
      <w:proofErr w:type="gramEnd"/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proofErr w:type="gramStart"/>
      <w:r w:rsidRPr="0090657C">
        <w:rPr>
          <w:sz w:val="28"/>
          <w:szCs w:val="28"/>
        </w:rPr>
        <w:t>V</w:t>
      </w:r>
      <w:proofErr w:type="gramEnd"/>
      <w:r w:rsidRPr="0090657C">
        <w:rPr>
          <w:sz w:val="28"/>
          <w:szCs w:val="28"/>
        </w:rPr>
        <w:t>пп</w:t>
      </w:r>
      <w:proofErr w:type="spellEnd"/>
      <w:r w:rsidRPr="0090657C">
        <w:rPr>
          <w:sz w:val="28"/>
          <w:szCs w:val="28"/>
        </w:rPr>
        <w:t xml:space="preserve"> - прогнозный объем реализации i-услуги населению, предусмотренный в производственной программе организации коммунального комплекса; единица измерения i-услуги: водоснабжения, водоотведения и очистки сточных вод, утилизации (захоронения) твердых бытовых отходов, куб. м;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spellStart"/>
      <w:r w:rsidRPr="0090657C">
        <w:rPr>
          <w:sz w:val="28"/>
          <w:szCs w:val="28"/>
        </w:rPr>
        <w:t>Ni</w:t>
      </w:r>
      <w:proofErr w:type="spellEnd"/>
      <w:r w:rsidRPr="0090657C">
        <w:rPr>
          <w:sz w:val="28"/>
          <w:szCs w:val="28"/>
        </w:rPr>
        <w:t xml:space="preserve"> - средний норматив потребления i-услуги на одного человека в месяц; единица измерения i-услуги: водоснабжения, водоотведения и очистки сточных вод, утилизации (захоронения) твердых бытовых отходов, куб. м;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Ч - количество человек, проживающих в жилищном фонде, оборудованном i-услугой.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   </w:t>
      </w:r>
      <w:r w:rsidRPr="0090657C">
        <w:rPr>
          <w:sz w:val="28"/>
          <w:szCs w:val="28"/>
        </w:rPr>
        <w:t>Оценка физической доступности для населения товаров и услуг организаций коммунального комплекса и показателей доступности основана на балльной системе, включающей уровни доступности, из расчета 1 процент равен 1 баллу: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менее 50 - услуга недоступна;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от 50 до 90 - услуга ограниченно доступна;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от 90 до 105 - услуга оптимально доступна;</w:t>
      </w:r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>от 105 и выше - услуга доступна с избытком.</w:t>
      </w:r>
    </w:p>
    <w:p w:rsidR="007C0DD7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0657C"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   </w:t>
      </w:r>
      <w:proofErr w:type="gramStart"/>
      <w:r w:rsidRPr="0090657C">
        <w:rPr>
          <w:sz w:val="28"/>
          <w:szCs w:val="28"/>
        </w:rPr>
        <w:t>Органы местного самоуправления при определении физической доступности для населения товаров и услуг организаций коммунального комплекса учитывают прогнозные объемы реализации товаров и услуг водоснабжения, водоотведения и очистки сточных вод, утилизации (захоронения) твердых бытовых отходов, средние нормативы потребления коммунальных услуг на одного человека в месяц и количество человек, проживающих в жилищном фонде, обслуживаемом конкретной организацией коммунального комплекса, указанные в производственной программе этих</w:t>
      </w:r>
      <w:proofErr w:type="gramEnd"/>
      <w:r w:rsidRPr="0090657C">
        <w:rPr>
          <w:sz w:val="28"/>
          <w:szCs w:val="28"/>
        </w:rPr>
        <w:t xml:space="preserve"> организаций.</w:t>
      </w:r>
    </w:p>
    <w:p w:rsidR="003B19B3" w:rsidRPr="0090657C" w:rsidRDefault="003B19B3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C0DD7" w:rsidRPr="00EC6AEE" w:rsidRDefault="007C0DD7" w:rsidP="007C0DD7">
      <w:pPr>
        <w:widowControl w:val="0"/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EC6AEE">
        <w:rPr>
          <w:b/>
          <w:sz w:val="28"/>
          <w:szCs w:val="28"/>
        </w:rPr>
        <w:t>4. Определение экономической доступности для населения</w:t>
      </w:r>
    </w:p>
    <w:p w:rsidR="007C0DD7" w:rsidRDefault="007C0DD7" w:rsidP="007C0DD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C6AEE">
        <w:rPr>
          <w:b/>
          <w:sz w:val="28"/>
          <w:szCs w:val="28"/>
        </w:rPr>
        <w:t>товаров и услуг организаций коммунального комплекса</w:t>
      </w:r>
    </w:p>
    <w:p w:rsidR="003B19B3" w:rsidRPr="00EC6AEE" w:rsidRDefault="003B19B3" w:rsidP="007C0DD7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06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Экономическая д</w:t>
      </w:r>
      <w:r>
        <w:rPr>
          <w:rFonts w:eastAsia="Calibri"/>
          <w:sz w:val="28"/>
          <w:szCs w:val="28"/>
        </w:rPr>
        <w:t>оступность платы за потребляемые коммунальные услуги является комплексным параметром и определяется на основе системы критериев, к которым относятся: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доля расходов на коммунальные услуги в совокупном доходе семьи;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уровень собираемости платежей за коммунальные услуги;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доля населения с доходами ниже прожиточного минимума;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доля получателей субсидий на оплату коммунальных услуг в общей численности населения.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При определении критерия доли расходов на жилищно-коммунальные услуги, в муниципальных образованиях учитываются </w:t>
      </w:r>
      <w:r>
        <w:rPr>
          <w:rFonts w:eastAsia="Calibri"/>
          <w:sz w:val="28"/>
          <w:szCs w:val="28"/>
        </w:rPr>
        <w:lastRenderedPageBreak/>
        <w:t>среднедушевые доходы населения в них, а также обеспеченность коммунальными услугами и особенности их предоставления.</w:t>
      </w:r>
    </w:p>
    <w:p w:rsidR="007C0DD7" w:rsidRDefault="007C0DD7" w:rsidP="007C0D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Прогнозная доля расходов на жилищно-коммунальные услуги в совокупном доходе средней семьи, определяется как отношение общего прогнозируемого совокупного платежа граждан за все потребляемые ими коммунальные услуги в расчете на одного человека в месяц на среднедушевой доход населения в месяц, то есть: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F7E5F86" wp14:editId="0E237CFC">
            <wp:extent cx="1590675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, где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27E9935" wp14:editId="4DC82892">
            <wp:extent cx="2000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доля расходов на коммунальные услуги в совокупном доходе семьи</w:t>
      </w:r>
      <w:proofErr w:type="gramStart"/>
      <w:r>
        <w:rPr>
          <w:rFonts w:eastAsia="Calibri"/>
          <w:sz w:val="28"/>
          <w:szCs w:val="28"/>
        </w:rPr>
        <w:t>, &lt;*&gt; %;</w:t>
      </w:r>
      <w:proofErr w:type="gramEnd"/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&lt;*&gt; Для расчета доли расходов на коммунальные услуги в совокупном доходе семьи используются данные о совокупных платежах граждан за коммунальные услуги в расчете на одного человека и среднедушевые доходы населения, что адекватно использованию данных о совокупных платежах и средних доходах одного домохозяйства, поскольку в последнем случае и в числителе и в знаменателе должен быть использован средний по муниципальному образованию коэффициент семейности.</w:t>
      </w:r>
      <w:proofErr w:type="gramEnd"/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2C94A3A" wp14:editId="4F314DBD">
            <wp:extent cx="3048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общий прогнозируемый совокупный платеж граждан за все потребляемые коммунальные услуги, тыс. рублей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1802E1E" wp14:editId="1D76024D">
            <wp:extent cx="3143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численность населения муниципального образования, тыс. чел.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3430FCD" wp14:editId="4EC1FE6B">
            <wp:extent cx="2381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среднедушевой доход населения муниципального образования, рублей/человека в месяц;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12 - число месяцев в году.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отсутствии данных об уровне среднедушевого дохода в муниципальном образовании его оценка выполняется коррекцией регионального среднедушевого дохода по уровню заработной платы в муниципальном образовании.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оценки среднедушевого дохода рассчитывается коэффициент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34A2BA3" wp14:editId="4F78BABF">
            <wp:extent cx="3333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 xml:space="preserve"> - отношение среднедушевого дохода к среднемесячной заработной плате.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5A10382" wp14:editId="6D108610">
            <wp:extent cx="714375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, где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DF40CF9" wp14:editId="06A27B5C">
            <wp:extent cx="2190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среднедушевой доход населения по региону, в состав которого входит муниципальное образование;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263362A" wp14:editId="5321B682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среднемесячная заработная плата населения в регионе.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данных о структуре доходов населения муниципального образования (заработная плата, социальные выплаты, доходы от собственности и предпринимательской деятельности) рекомендуется отобрать группу из N муниципальных образований, близких по структуре доходов. В этом случае коэффициент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4F637D7B" wp14:editId="36D1B2DF">
            <wp:extent cx="3333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 xml:space="preserve"> рассчитывается как среднее значение по коэффициентам данных муниципальных образований.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25C7F107" wp14:editId="02764F1F">
            <wp:extent cx="1257300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Среднедушевой доход населения рассматриваемого муниципального образования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FC606DF" wp14:editId="3B024BBE">
            <wp:extent cx="333375" cy="2381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 xml:space="preserve"> определяется: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2208160" wp14:editId="14103969">
            <wp:extent cx="1143000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, где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D773C72" wp14:editId="7256D04E">
            <wp:extent cx="314325" cy="2381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среднемесячная заработная плата населения муниципального образования.</w:t>
      </w:r>
      <w:r w:rsidRPr="00DB49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Оценка доступности для граждан прогнозируемой платы за коммунальные услуги по критерию "доля расходов на коммунальные услуги в совокупном доходе семьи"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критерия, то необходим пересмотр проекта тарифов  организаций или выделение дополнительных бюджетных средств на выплату субсидий и мер социальной поддержки населению.</w:t>
      </w:r>
    </w:p>
    <w:p w:rsidR="007C0DD7" w:rsidRDefault="007C0DD7" w:rsidP="007C0D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4.2. Критерий доступности "уровень собираемости платежей"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proofErr w:type="gramStart"/>
      <w:r>
        <w:rPr>
          <w:rFonts w:eastAsia="Calibri"/>
          <w:sz w:val="28"/>
          <w:szCs w:val="28"/>
        </w:rPr>
        <w:t>Для оценки прогнозируемого совокупного платежа населения муниципального образования за жилищно-коммунальные услуги по критерию доступности "уровень собираемости платежей за коммунальные услуги" необходимо построить график зависимости уровня собираемости платы за коммунальные услуги от доли расходов населения за коммунальные услуги в совокупном доходе семьи (за последние 5 - 10 лет).</w:t>
      </w:r>
      <w:proofErr w:type="gramEnd"/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Доля расходов населения на коммунальные услуги в совокупном доходе семьи в каждом конкретном году рассчитывается по методике, изложенной в п.4.1. по фактическим  данным,  муниципального образования, а также статистическим данным о его социально-экономическом развитии (в части численности населения и среднедушевых доходов населения).</w:t>
      </w:r>
    </w:p>
    <w:p w:rsidR="007C0DD7" w:rsidRDefault="007C0DD7" w:rsidP="007C0D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Уровень собираемости платы за коммунальные услуги рассчитывается как отношение оплаченных и начисленных значений платы за коммунальные услуги в каждом году (используются статистические данные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  <w:r>
        <w:rPr>
          <w:rFonts w:eastAsia="Calibri"/>
          <w:sz w:val="28"/>
          <w:szCs w:val="28"/>
        </w:rPr>
        <w:t>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Прогнозная доля расходов на коммунальные услуги в совокупном доходе семьи откладывается </w:t>
      </w:r>
      <w:proofErr w:type="gramStart"/>
      <w:r>
        <w:rPr>
          <w:rFonts w:eastAsia="Calibri"/>
          <w:sz w:val="28"/>
          <w:szCs w:val="28"/>
        </w:rPr>
        <w:t>на соответствующей оси графика зависимости уровня собираемости платы за коммунальные услуги от доли расходов на коммунальные услуги в доходах</w:t>
      </w:r>
      <w:proofErr w:type="gramEnd"/>
      <w:r>
        <w:rPr>
          <w:rFonts w:eastAsia="Calibri"/>
          <w:sz w:val="28"/>
          <w:szCs w:val="28"/>
        </w:rPr>
        <w:t xml:space="preserve"> населения.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Прогнозируемый уровень собираемости платы за коммунальные услуги на очередной финансовый год определяется как значение уровня собираемости платежей, соответствующее точке на построенном графике для прогнозируемой доли расходов населения на коммунальные услуги в доходах населения.</w:t>
      </w:r>
    </w:p>
    <w:p w:rsidR="007C0DD7" w:rsidRDefault="007C0DD7" w:rsidP="007C0D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Полученный результат сопоставляется с установленным для муниципального образования значением критерия доступности "уровень собираемости платежей за коммунальные услуги".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полученный результат ниже заданного уровня собираемости платы за коммунальные услуги, необходимо рассмотреть вопрос о пересмотре проекта тарифов  организаций или выделение дополнительных бюджетных средств на выплату субсидий и мер социальной поддержки населению.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 то же время при оценке доступности платы за коммунальные услуги по критерию "уровень собираемости платежей" необходимо иметь в виду, что снижение собираемости (рост неплатежей) только в том случае связано с предельными индексами изменения размера платы граждан за коммунальные услуги, когда рост тарифов, а соответственно и платежей ведет к нарушению структуры рационального потребительского бюджета и превышению над установленным критерием доли</w:t>
      </w:r>
      <w:proofErr w:type="gramEnd"/>
      <w:r>
        <w:rPr>
          <w:rFonts w:eastAsia="Calibri"/>
          <w:sz w:val="28"/>
          <w:szCs w:val="28"/>
        </w:rPr>
        <w:t xml:space="preserve"> расходов за коммунальные услуги в совокупном доходе семьи, то есть в том случае, когда доля расходов на жилищно-коммунальные услуги в совокупном доходе семьи превышает допустимый уровень (в среднем 9 - 11,5% по муниципальным образованиям, имеющим разный уровень экономического развития). В большей степени собираемость платы за коммунальные услуги зависит от организации расчетов и сбора платежей населения.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Оценка доли населения с доходами ниже прожиточного минимума</w:t>
      </w:r>
    </w:p>
    <w:p w:rsidR="007C0DD7" w:rsidRDefault="007C0DD7" w:rsidP="007C0D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Необходимость оценки критерия "доля населения с доходами ниже прожиточного минимума" обусловлена тем, что эта доля оказывает существенное влияние на уровень доходов населения муниципального образования, и как следствие, на долю расходов на коммунальные услуги в совокупном доходе семьи, а также размер бюджетных средств на выплату субсидий.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определении потребности в субсидиях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Доля населения с доходами ниже прожиточного минимума (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78239F3" wp14:editId="29F5CB43">
            <wp:extent cx="2190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 xml:space="preserve"> -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%) определяется по формуле: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58394B7" wp14:editId="33ED2658">
            <wp:extent cx="1028700" cy="4476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, где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BE4CD18" wp14:editId="039CE45E">
            <wp:extent cx="3143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прогнозируемая численность населения с доходами ниже прожиточного минимума в муниципальном образовании;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4F1AB0A" wp14:editId="363B5DA6">
            <wp:extent cx="314325" cy="2286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общая прогнозируемая численность населения муниципального образования, тысяч человек.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При значительном превышении доли населения с доходами ниже прожиточного минимума над установленным критерием может возникнуть </w:t>
      </w:r>
      <w:r>
        <w:rPr>
          <w:rFonts w:eastAsia="Calibri"/>
          <w:sz w:val="28"/>
          <w:szCs w:val="28"/>
        </w:rPr>
        <w:lastRenderedPageBreak/>
        <w:t xml:space="preserve">необходимость </w:t>
      </w:r>
      <w:proofErr w:type="gramStart"/>
      <w:r>
        <w:rPr>
          <w:rFonts w:eastAsia="Calibri"/>
          <w:sz w:val="28"/>
          <w:szCs w:val="28"/>
        </w:rPr>
        <w:t>пересмотра проекта предельного индекса изменения размера платы граждан</w:t>
      </w:r>
      <w:proofErr w:type="gramEnd"/>
      <w:r>
        <w:rPr>
          <w:rFonts w:eastAsia="Calibri"/>
          <w:sz w:val="28"/>
          <w:szCs w:val="28"/>
        </w:rPr>
        <w:t xml:space="preserve"> за коммунальные услуги.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 Оценка доступности для граждан платы за коммунальные услуги по критерию "доля получателей субсидий на оплату коммунальных услуг в общей численности населения"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Оценка доступности для граждан платы за коммунальные услуги по критерию "доля получателей субсидий на оплату коммунальных услуг в общей численности населения муниципального образования" проводится путем сопоставления прогнозной величины этого показателя и установленного в муниципальном образовании критерия.</w:t>
      </w:r>
    </w:p>
    <w:p w:rsidR="007C0DD7" w:rsidRDefault="007C0DD7" w:rsidP="007C0D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Прогнозируемая доля получателей субсидий на оплату коммунальных услуг в муниципальном образовании определяется как частное от деления прогнозируемого числа получателей субсидий и прогнозируемой численности населения в муниципальном образовании: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Число семей - получателей субсидий на оплату коммунальных услуг для целей определения доступности для граждан платы за коммунальные услуги принимается </w:t>
      </w:r>
      <w:proofErr w:type="gramStart"/>
      <w:r>
        <w:rPr>
          <w:rFonts w:eastAsia="Calibri"/>
          <w:sz w:val="28"/>
          <w:szCs w:val="28"/>
        </w:rPr>
        <w:t>равным</w:t>
      </w:r>
      <w:proofErr w:type="gramEnd"/>
      <w:r>
        <w:rPr>
          <w:rFonts w:eastAsia="Calibri"/>
          <w:sz w:val="28"/>
          <w:szCs w:val="28"/>
        </w:rPr>
        <w:t xml:space="preserve"> числу семей на оплату жилищно-коммунальных услуг.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8479EE" wp14:editId="5B466405">
            <wp:extent cx="1295400" cy="4476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, где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ДС - прогнозируемая доля получателей субсидий на оплату коммунальных услуг в общей численности населения муниципального образования</w:t>
      </w:r>
      <w:proofErr w:type="gramStart"/>
      <w:r>
        <w:rPr>
          <w:rFonts w:eastAsia="Calibri"/>
          <w:sz w:val="28"/>
          <w:szCs w:val="28"/>
        </w:rPr>
        <w:t>, %;</w:t>
      </w:r>
      <w:proofErr w:type="gramEnd"/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677F560" wp14:editId="330D2A62">
            <wp:extent cx="257175" cy="2286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прогнозируемая численность семей, претендующих на получение субсидий, единиц;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B1FC885" wp14:editId="2D5C64C5">
            <wp:extent cx="29527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- средний по муниципальному образованию коэффициент семейности, человек.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</w:t>
      </w:r>
      <w:proofErr w:type="gramEnd"/>
      <w:r>
        <w:rPr>
          <w:rFonts w:eastAsia="Calibri"/>
          <w:sz w:val="28"/>
          <w:szCs w:val="28"/>
        </w:rPr>
        <w:t xml:space="preserve">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</w:t>
      </w:r>
      <w:proofErr w:type="gramStart"/>
      <w:r>
        <w:rPr>
          <w:rFonts w:eastAsia="Calibri"/>
          <w:sz w:val="28"/>
          <w:szCs w:val="28"/>
        </w:rPr>
        <w:t>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 (</w:t>
      </w:r>
      <w:hyperlink r:id="rId28" w:history="1">
        <w:r w:rsidRPr="002A1A7E">
          <w:rPr>
            <w:rFonts w:eastAsia="Calibri"/>
            <w:sz w:val="28"/>
            <w:szCs w:val="28"/>
          </w:rPr>
          <w:t>часть</w:t>
        </w:r>
      </w:hyperlink>
      <w:r>
        <w:rPr>
          <w:rFonts w:eastAsia="Calibri"/>
          <w:sz w:val="28"/>
          <w:szCs w:val="28"/>
        </w:rPr>
        <w:t xml:space="preserve"> 1 статья 159 Жилищного кодекса Российской Федерации (Собрание законодательства Российской Федерации, </w:t>
      </w:r>
      <w:r>
        <w:rPr>
          <w:rFonts w:eastAsia="Calibri"/>
          <w:sz w:val="28"/>
          <w:szCs w:val="28"/>
        </w:rPr>
        <w:lastRenderedPageBreak/>
        <w:t xml:space="preserve">2005, N 1 (часть I), ст. 14)), в порядке, определенном </w:t>
      </w:r>
      <w:hyperlink r:id="rId29" w:history="1">
        <w:r w:rsidRPr="002A1A7E">
          <w:rPr>
            <w:rFonts w:eastAsia="Calibri"/>
            <w:sz w:val="28"/>
            <w:szCs w:val="28"/>
          </w:rPr>
          <w:t>Правилами</w:t>
        </w:r>
      </w:hyperlink>
      <w:r>
        <w:rPr>
          <w:rFonts w:eastAsia="Calibri"/>
          <w:sz w:val="28"/>
          <w:szCs w:val="28"/>
        </w:rPr>
        <w:t xml:space="preserve"> предоставления субсидий на оплату жилья и коммунальных услуг, утвержденными Постановлением</w:t>
      </w:r>
      <w:proofErr w:type="gramEnd"/>
      <w:r>
        <w:rPr>
          <w:rFonts w:eastAsia="Calibri"/>
          <w:sz w:val="28"/>
          <w:szCs w:val="28"/>
        </w:rPr>
        <w:t xml:space="preserve"> Правительства Российской Федерации от 14 декабря 2005 г. N 761 (Собрание законодательства Российской Федерации, 2005, N 51, ст. 5547).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Прогнозируемая доля расходов на оплату жилищно-коммунальных услуг в прогнозируемом доходе домохозяйства определяется как частное прогнозируемых расходов средней семьи рассматриваемого муниципального образования на жилищно-коммунальные услуги и прогнозируемого дохода семьи с учетом дифференциации доходов.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выполнения расчетов население распределяется на п. +1 группу по уровню среднедушевого дохода (общее количество групп определяется существующей системой дифференциации доходов населения, например, по </w:t>
      </w:r>
      <w:proofErr w:type="spellStart"/>
      <w:r>
        <w:rPr>
          <w:rFonts w:eastAsia="Calibri"/>
          <w:sz w:val="28"/>
          <w:szCs w:val="28"/>
        </w:rPr>
        <w:t>децильным</w:t>
      </w:r>
      <w:proofErr w:type="spellEnd"/>
      <w:r>
        <w:rPr>
          <w:rFonts w:eastAsia="Calibri"/>
          <w:sz w:val="28"/>
          <w:szCs w:val="28"/>
        </w:rPr>
        <w:t xml:space="preserve"> группам):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1-я группа - с доходами &lt; 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4C9293DC" wp14:editId="2E3F44E7">
            <wp:extent cx="1905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i-я группа - с доходами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4C430D8F" wp14:editId="436C1744">
            <wp:extent cx="1905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 xml:space="preserve"> до 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24C57042" wp14:editId="457064AD">
            <wp:extent cx="1905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n+1 группа - с доходами свыше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03D30C61" wp14:editId="528E9C4F">
            <wp:extent cx="2000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доход в группах, начиная со 2-й по n-ю, принимается </w:t>
      </w:r>
      <w:proofErr w:type="gramStart"/>
      <w:r>
        <w:rPr>
          <w:rFonts w:eastAsia="Calibri"/>
          <w:sz w:val="28"/>
          <w:szCs w:val="28"/>
        </w:rPr>
        <w:t>равным</w:t>
      </w:r>
      <w:proofErr w:type="gramEnd"/>
      <w:r>
        <w:rPr>
          <w:rFonts w:eastAsia="Calibri"/>
          <w:sz w:val="28"/>
          <w:szCs w:val="28"/>
        </w:rPr>
        <w:t xml:space="preserve"> среднему между границами группы: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40F6FF2" wp14:editId="1F466A50">
            <wp:extent cx="1304925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первой группе рекомендуется средний доход принимать </w:t>
      </w:r>
      <w:proofErr w:type="gramStart"/>
      <w:r>
        <w:rPr>
          <w:rFonts w:eastAsia="Calibri"/>
          <w:sz w:val="28"/>
          <w:szCs w:val="28"/>
        </w:rPr>
        <w:t>равным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6B6938E8" wp14:editId="3EB8FED0">
            <wp:extent cx="904875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 xml:space="preserve"> (12).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n+1 группе доход подбирается так, чтобы средневзвешенный доход по группам был равен среднему доходу, то есть: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A144601" wp14:editId="56CE8966">
            <wp:extent cx="2124075" cy="4476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>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Далее определяется уровень дохода, при котором наступает право на субсидии, для чего по каждой группе рассчитывается прогнозная доля расходов на оплату жилищно-коммунальных услуг. Эта доля сопоставляется с максимально допустимой долей расходов граждан на оплату жилого помещения и коммунальных услуг для определения их права на получение субсидии.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Прогнозируемая доля расходов на оплату жилищно-коммунальных услуг в совокупном доходе семьи определяется в порядке, установленном п.4.1.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Прогнозируемый доход семьи с учетом распределения населения по доходным группам определяется на основании прогноза совокупного дохода населения, разработанного в прогнозе социально-экономического развития муниципального образования, и данных о дифференциации доходов населения.</w:t>
      </w:r>
    </w:p>
    <w:p w:rsidR="007C0DD7" w:rsidRDefault="007C0DD7" w:rsidP="007C0D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Если рассчитанная доля получателей субсидий на оплату жилищно-коммунальных услуг в общей численности населения в рассматриваемом муниципальном образовании превышает заданное значение критерия доступности "доля получателей субсидии на оплату коммунальных услуг в </w:t>
      </w:r>
      <w:r>
        <w:rPr>
          <w:rFonts w:eastAsia="Calibri"/>
          <w:sz w:val="28"/>
          <w:szCs w:val="28"/>
        </w:rPr>
        <w:lastRenderedPageBreak/>
        <w:t>общей численности населения", то необходим пересмотр проекта тарифов  организаций или выделение дополнительных бюджетных средств на выплату субсидий и мер социальной поддержки населению.</w:t>
      </w:r>
      <w:proofErr w:type="gramEnd"/>
    </w:p>
    <w:p w:rsidR="007C0DD7" w:rsidRPr="0090657C" w:rsidRDefault="007C0DD7" w:rsidP="007C0DD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C0DD7" w:rsidRPr="00EC6AEE" w:rsidRDefault="007C0DD7" w:rsidP="007C0DD7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C6AEE">
        <w:rPr>
          <w:b/>
          <w:sz w:val="28"/>
          <w:szCs w:val="28"/>
        </w:rPr>
        <w:t xml:space="preserve">5.Средние значения критериев доступности </w:t>
      </w:r>
    </w:p>
    <w:p w:rsidR="007C0DD7" w:rsidRDefault="007C0DD7" w:rsidP="007C0DD7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д</w:t>
      </w:r>
      <w:r w:rsidRPr="00EC6AEE">
        <w:rPr>
          <w:b/>
          <w:sz w:val="28"/>
          <w:szCs w:val="28"/>
        </w:rPr>
        <w:t>ля граждан платы за коммунальные услуги</w:t>
      </w:r>
    </w:p>
    <w:p w:rsidR="003B19B3" w:rsidRPr="00EC6AEE" w:rsidRDefault="003B19B3" w:rsidP="007C0DD7">
      <w:pPr>
        <w:ind w:left="284"/>
        <w:jc w:val="both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4"/>
        <w:gridCol w:w="1677"/>
        <w:gridCol w:w="1835"/>
        <w:gridCol w:w="1851"/>
      </w:tblGrid>
      <w:tr w:rsidR="007C0DD7" w:rsidRPr="00C073A7" w:rsidTr="00866DDF">
        <w:tc>
          <w:tcPr>
            <w:tcW w:w="4502" w:type="dxa"/>
            <w:vMerge w:val="restart"/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 xml:space="preserve">                            Критерий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 xml:space="preserve">                         Уровень доступности</w:t>
            </w:r>
          </w:p>
        </w:tc>
      </w:tr>
      <w:tr w:rsidR="007C0DD7" w:rsidRPr="00C073A7" w:rsidTr="00866DDF">
        <w:tc>
          <w:tcPr>
            <w:tcW w:w="4502" w:type="dxa"/>
            <w:vMerge/>
          </w:tcPr>
          <w:p w:rsidR="007C0DD7" w:rsidRPr="00C073A7" w:rsidRDefault="007C0DD7" w:rsidP="00866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доступный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недоступный</w:t>
            </w:r>
          </w:p>
        </w:tc>
      </w:tr>
      <w:tr w:rsidR="007C0DD7" w:rsidRPr="00C073A7" w:rsidTr="00866DDF">
        <w:tc>
          <w:tcPr>
            <w:tcW w:w="4502" w:type="dxa"/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от 6,3 до 7,2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от 7,2 до 8,6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от 8,6</w:t>
            </w:r>
          </w:p>
        </w:tc>
      </w:tr>
      <w:tr w:rsidR="007C0DD7" w:rsidRPr="00C073A7" w:rsidTr="00866DDF">
        <w:tc>
          <w:tcPr>
            <w:tcW w:w="4502" w:type="dxa"/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Доля населения с доходами ниже прожиточного минимума, 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до 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от 8 до 12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свыше 12</w:t>
            </w:r>
          </w:p>
        </w:tc>
      </w:tr>
      <w:tr w:rsidR="007C0DD7" w:rsidRPr="00C073A7" w:rsidTr="00866DDF">
        <w:tc>
          <w:tcPr>
            <w:tcW w:w="4502" w:type="dxa"/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Уровень собираемости платежей за коммунальные услуги, 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от 92 до 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от 85 до 92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ниже 85</w:t>
            </w:r>
          </w:p>
        </w:tc>
      </w:tr>
      <w:tr w:rsidR="007C0DD7" w:rsidRPr="00C073A7" w:rsidTr="00866DDF">
        <w:tc>
          <w:tcPr>
            <w:tcW w:w="4502" w:type="dxa"/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Доля получателей субсидии на оплату коммунальных услуг в общей численности населения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не более 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от 10 до 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7C0DD7" w:rsidRPr="00C073A7" w:rsidRDefault="007C0DD7" w:rsidP="00866DDF">
            <w:pPr>
              <w:jc w:val="both"/>
            </w:pPr>
            <w:r w:rsidRPr="00C073A7">
              <w:rPr>
                <w:sz w:val="22"/>
                <w:szCs w:val="22"/>
              </w:rPr>
              <w:t>свыше 15</w:t>
            </w:r>
          </w:p>
        </w:tc>
      </w:tr>
    </w:tbl>
    <w:p w:rsidR="007C0DD7" w:rsidRPr="0090657C" w:rsidRDefault="007C0DD7" w:rsidP="007C0DD7">
      <w:pPr>
        <w:ind w:left="284"/>
        <w:jc w:val="both"/>
        <w:rPr>
          <w:sz w:val="28"/>
          <w:szCs w:val="28"/>
        </w:rPr>
      </w:pPr>
    </w:p>
    <w:p w:rsidR="007C0DD7" w:rsidRDefault="007C0DD7" w:rsidP="007C0DD7"/>
    <w:p w:rsidR="007C0DD7" w:rsidRPr="00445C0B" w:rsidRDefault="007C0DD7" w:rsidP="00445C0B"/>
    <w:sectPr w:rsidR="007C0DD7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57725"/>
    <w:multiLevelType w:val="hybridMultilevel"/>
    <w:tmpl w:val="13D08EAC"/>
    <w:lvl w:ilvl="0" w:tplc="3168B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2C7C5C"/>
    <w:multiLevelType w:val="hybridMultilevel"/>
    <w:tmpl w:val="C9DE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8190F"/>
    <w:rsid w:val="003B19B3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7C0DD7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C0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C0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C0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C0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5.wmf"/><Relationship Id="rId7" Type="http://schemas.openxmlformats.org/officeDocument/2006/relationships/hyperlink" Target="consultantplus://offline/ref=DC82B6DFCE147896729E4606AFA6B67B89AA2A7FA9B04EA3CA5DAE33BAY67C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consultantplus://offline/ref=7150CB3823224726AA65B1BB2B7B614A069D269AA945FCD84AEB039D5DE9F70543E558C5F300C531a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2B6DFCE147896729E4606AFA6B67B89AA2A7FA9B04EA3CA5DAE33BAY67CL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7150CB3823224726AA65B1BB2B7B614A0F9D219AA947A1D242B20F9F5AE6A81244AC54C4F300CD1430a4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1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2014-03-03T06:07:00Z</cp:lastPrinted>
  <dcterms:created xsi:type="dcterms:W3CDTF">2014-03-03T06:07:00Z</dcterms:created>
  <dcterms:modified xsi:type="dcterms:W3CDTF">2014-03-03T06:07:00Z</dcterms:modified>
</cp:coreProperties>
</file>