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FD" w:rsidRP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 xml:space="preserve">     Совет депутатов</w:t>
      </w:r>
    </w:p>
    <w:p w:rsidR="00D757FD" w:rsidRP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757FD" w:rsidRP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>Ключевский сельсовет</w:t>
      </w:r>
    </w:p>
    <w:p w:rsidR="00D757FD" w:rsidRP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 xml:space="preserve">   Беляевского района</w:t>
      </w:r>
    </w:p>
    <w:p w:rsidR="00D757FD" w:rsidRP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>Оренбургской области</w:t>
      </w:r>
    </w:p>
    <w:p w:rsidR="00D757FD" w:rsidRP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первого</w:t>
      </w:r>
      <w:r w:rsidRPr="00D757FD">
        <w:rPr>
          <w:rFonts w:ascii="Times New Roman" w:hAnsi="Times New Roman"/>
          <w:sz w:val="28"/>
          <w:szCs w:val="28"/>
        </w:rPr>
        <w:t xml:space="preserve"> созыва</w:t>
      </w:r>
    </w:p>
    <w:p w:rsidR="00D757FD" w:rsidRP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</w:p>
    <w:p w:rsidR="00D757FD" w:rsidRP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 xml:space="preserve">        РЕШЕНИЕ  </w:t>
      </w:r>
    </w:p>
    <w:p w:rsidR="00D757FD" w:rsidRP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26.03.2009</w:t>
      </w:r>
      <w:r w:rsidRPr="00D757FD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128</w:t>
      </w:r>
    </w:p>
    <w:p w:rsidR="00D757FD" w:rsidRP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57FD">
        <w:rPr>
          <w:rFonts w:ascii="Times New Roman" w:hAnsi="Times New Roman"/>
          <w:sz w:val="28"/>
          <w:szCs w:val="28"/>
        </w:rPr>
        <w:t xml:space="preserve"> порядке проведения антикоррупционной </w:t>
      </w:r>
    </w:p>
    <w:p w:rsid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 xml:space="preserve">экспертизы правовых актов органов местного </w:t>
      </w:r>
    </w:p>
    <w:p w:rsid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 xml:space="preserve">самоуправления муниципального образования </w:t>
      </w:r>
    </w:p>
    <w:p w:rsidR="00D757FD" w:rsidRPr="00D757FD" w:rsidRDefault="00D757FD" w:rsidP="00D757FD">
      <w:pPr>
        <w:pStyle w:val="a4"/>
        <w:rPr>
          <w:rFonts w:ascii="Times New Roman" w:hAnsi="Times New Roman"/>
          <w:sz w:val="28"/>
          <w:szCs w:val="28"/>
        </w:rPr>
      </w:pPr>
      <w:r w:rsidRPr="00D757FD">
        <w:rPr>
          <w:rFonts w:ascii="Times New Roman" w:hAnsi="Times New Roman"/>
          <w:sz w:val="28"/>
          <w:szCs w:val="28"/>
        </w:rPr>
        <w:t>Ключевский сельсовет Беляевского района</w:t>
      </w:r>
    </w:p>
    <w:p w:rsidR="00D757FD" w:rsidRDefault="00D757FD" w:rsidP="00D757FD">
      <w:pPr>
        <w:spacing w:line="240" w:lineRule="auto"/>
        <w:ind w:left="454" w:right="-57"/>
        <w:jc w:val="both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spacing w:after="0" w:line="240" w:lineRule="auto"/>
        <w:ind w:left="454" w:righ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Федерального закона от 06.10.2003 № 131 – ФЗ «Об общих принципах организации  местного самоуправления в Российской Федерации»,Закона Оренбургской области от 16.09.2008 № 2369\497 – 1У  ОЗ «О профилактике коррупции в Оренбургской области», руководствуясь Уставом муниципального образования Ключевский сельсовет, Совет депутатов</w:t>
      </w:r>
    </w:p>
    <w:p w:rsidR="00D757FD" w:rsidRDefault="00D757FD" w:rsidP="00D757FD">
      <w:pPr>
        <w:spacing w:after="0" w:line="240" w:lineRule="auto"/>
        <w:ind w:left="454" w:right="-57"/>
        <w:jc w:val="center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spacing w:after="0" w:line="240" w:lineRule="auto"/>
        <w:ind w:left="454" w:righ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D757FD" w:rsidRDefault="00D757FD" w:rsidP="00D757FD">
      <w:pPr>
        <w:spacing w:after="0" w:line="240" w:lineRule="auto"/>
        <w:ind w:left="454" w:right="-57"/>
        <w:jc w:val="center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numPr>
          <w:ilvl w:val="0"/>
          <w:numId w:val="1"/>
        </w:num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проведения  антикоррупционной экспертизы правовых актов местного самоуправления муниципального образования Ключевский сельсовет и их проектов согласно приложению № 1 к настоящему решению.</w:t>
      </w:r>
    </w:p>
    <w:p w:rsidR="00D757FD" w:rsidRDefault="00D757FD" w:rsidP="00D757FD">
      <w:pPr>
        <w:numPr>
          <w:ilvl w:val="0"/>
          <w:numId w:val="1"/>
        </w:numPr>
        <w:spacing w:after="0" w:line="240" w:lineRule="auto"/>
        <w:ind w:left="454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решения возложить на постоянную комиссию по вопросам муниципальной службы, провопорядку, труду, работе с общественными объединениями, выполняющей полномочия мандатной комиссии.</w:t>
      </w:r>
    </w:p>
    <w:p w:rsidR="00D757FD" w:rsidRDefault="00D757FD" w:rsidP="00D757FD">
      <w:pPr>
        <w:numPr>
          <w:ilvl w:val="0"/>
          <w:numId w:val="1"/>
        </w:numPr>
        <w:spacing w:after="0" w:line="240" w:lineRule="auto"/>
        <w:ind w:left="454"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вступает в силу со дня официального опубликования (обнародования).   </w:t>
      </w:r>
    </w:p>
    <w:p w:rsidR="00D757FD" w:rsidRDefault="00D757FD" w:rsidP="00D757FD">
      <w:pPr>
        <w:spacing w:after="0" w:line="240" w:lineRule="auto"/>
        <w:ind w:left="454" w:right="-57"/>
        <w:jc w:val="both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spacing w:after="0" w:line="240" w:lineRule="auto"/>
        <w:ind w:left="454" w:right="-57"/>
        <w:jc w:val="both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spacing w:after="0" w:line="240" w:lineRule="auto"/>
        <w:ind w:left="454" w:right="-57"/>
        <w:jc w:val="both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А.В. Колесников</w:t>
      </w:r>
    </w:p>
    <w:p w:rsidR="00D757FD" w:rsidRDefault="00D757FD" w:rsidP="00D757FD">
      <w:pPr>
        <w:spacing w:after="0" w:line="240" w:lineRule="auto"/>
        <w:ind w:left="454" w:right="-57"/>
        <w:jc w:val="both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spacing w:after="0" w:line="240" w:lineRule="auto"/>
        <w:ind w:left="454" w:right="-57"/>
        <w:jc w:val="both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spacing w:after="0" w:line="240" w:lineRule="auto"/>
        <w:ind w:left="454" w:right="-57"/>
        <w:jc w:val="both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framePr w:hSpace="180" w:wrap="around" w:vAnchor="text" w:hAnchor="page" w:x="7108" w:y="-194"/>
        <w:spacing w:after="0" w:line="240" w:lineRule="auto"/>
        <w:ind w:left="-57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Приложение </w:t>
      </w:r>
    </w:p>
    <w:p w:rsidR="00D757FD" w:rsidRDefault="00D757FD" w:rsidP="00D757FD">
      <w:pPr>
        <w:framePr w:hSpace="180" w:wrap="around" w:vAnchor="text" w:hAnchor="page" w:x="7108" w:y="-194"/>
        <w:shd w:val="clear" w:color="auto" w:fill="FFFFFF"/>
        <w:tabs>
          <w:tab w:val="left" w:pos="5256"/>
        </w:tabs>
        <w:spacing w:after="0" w:line="240" w:lineRule="auto"/>
        <w:ind w:right="66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к решению Совета депутатов </w:t>
      </w:r>
    </w:p>
    <w:p w:rsidR="00D757FD" w:rsidRDefault="00D757FD" w:rsidP="00D757FD">
      <w:pPr>
        <w:framePr w:hSpace="180" w:wrap="around" w:vAnchor="text" w:hAnchor="page" w:x="7108" w:y="-194"/>
        <w:shd w:val="clear" w:color="auto" w:fill="FFFFFF"/>
        <w:tabs>
          <w:tab w:val="left" w:pos="5256"/>
        </w:tabs>
        <w:spacing w:after="0" w:line="240" w:lineRule="auto"/>
        <w:ind w:righ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</w:p>
    <w:p w:rsidR="00D757FD" w:rsidRDefault="00D757FD" w:rsidP="00D757FD">
      <w:pPr>
        <w:framePr w:hSpace="180" w:wrap="around" w:vAnchor="text" w:hAnchor="page" w:x="7108" w:y="-194"/>
        <w:shd w:val="clear" w:color="auto" w:fill="FFFFFF"/>
        <w:tabs>
          <w:tab w:val="left" w:pos="5256"/>
        </w:tabs>
        <w:spacing w:after="0" w:line="240" w:lineRule="auto"/>
        <w:ind w:right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Ключевский сельсовет</w:t>
      </w:r>
    </w:p>
    <w:p w:rsidR="00D757FD" w:rsidRDefault="00D757FD" w:rsidP="00D757FD">
      <w:pPr>
        <w:framePr w:hSpace="180" w:wrap="around" w:vAnchor="text" w:hAnchor="page" w:x="7108" w:y="-194"/>
        <w:spacing w:after="0" w:line="240" w:lineRule="auto"/>
        <w:ind w:right="-6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26 марта 2009 года № 128</w:t>
      </w:r>
    </w:p>
    <w:p w:rsidR="00D757FD" w:rsidRDefault="00D757FD" w:rsidP="00D757FD">
      <w:pPr>
        <w:framePr w:hSpace="180" w:wrap="around" w:vAnchor="text" w:hAnchor="page" w:x="7108" w:y="-194"/>
        <w:shd w:val="clear" w:color="auto" w:fill="FFFFFF"/>
        <w:tabs>
          <w:tab w:val="left" w:pos="5256"/>
        </w:tabs>
        <w:spacing w:after="0" w:line="240" w:lineRule="auto"/>
        <w:ind w:right="66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57FD" w:rsidRPr="008A2FB3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D757FD" w:rsidRPr="008A2FB3" w:rsidRDefault="00D757FD" w:rsidP="00D757FD">
      <w:pPr>
        <w:spacing w:after="0" w:line="240" w:lineRule="auto"/>
        <w:ind w:left="720" w:right="-642"/>
        <w:jc w:val="center"/>
        <w:rPr>
          <w:rFonts w:ascii="Times New Roman" w:hAnsi="Times New Roman"/>
          <w:b/>
          <w:sz w:val="27"/>
          <w:szCs w:val="27"/>
        </w:rPr>
      </w:pPr>
      <w:r w:rsidRPr="008A2FB3">
        <w:rPr>
          <w:rFonts w:ascii="Times New Roman" w:hAnsi="Times New Roman"/>
          <w:b/>
          <w:sz w:val="27"/>
          <w:szCs w:val="27"/>
        </w:rPr>
        <w:t>ПОРЯДОК ПРОВЕДЕНИЯ АНТИКОРРУПЦИОННОЙ ЭКСПЕРТИЗЫ ПРАВОВЫХ АКТОВ ОРГАНОВ МЕСТНОГО САМОУПРАВЛЕНИЯ МУНИЦИПАЛЬНОГО ОБРАЗОВАНИЯ КЛЮЧЕВСКИЙ сельсовет И ИХ ПРОЕКТОВ</w:t>
      </w:r>
    </w:p>
    <w:p w:rsidR="00D757FD" w:rsidRPr="008A2FB3" w:rsidRDefault="00D757FD" w:rsidP="00D757FD">
      <w:pPr>
        <w:numPr>
          <w:ilvl w:val="0"/>
          <w:numId w:val="2"/>
        </w:num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 xml:space="preserve">Антикоррупционная экспертиза правовых актов, издаваемых органами </w:t>
      </w:r>
    </w:p>
    <w:p w:rsidR="00D757FD" w:rsidRPr="008A2FB3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>местного самоуправления муниципального образования Ключевский сельсовет, а  также их проектов производится в целях выявления устранения содержащихся в них коррупционных факторов.</w:t>
      </w:r>
    </w:p>
    <w:p w:rsidR="00D757FD" w:rsidRPr="008A2FB3" w:rsidRDefault="00D757FD" w:rsidP="00D757FD">
      <w:pPr>
        <w:numPr>
          <w:ilvl w:val="0"/>
          <w:numId w:val="2"/>
        </w:num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>Обязательной антикоррупционной экспертизе подлежат следующие</w:t>
      </w:r>
    </w:p>
    <w:p w:rsidR="00D757FD" w:rsidRPr="008A2FB3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>Муниципальные правовые акты:</w:t>
      </w:r>
    </w:p>
    <w:p w:rsidR="00D757FD" w:rsidRPr="008A2FB3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>- проекты нормативных правовых актов Совета депутатов,  регулирующих общественные отношения в сфере муниципальной собственности, муниципальной службы, статуса лица, замещающих муниципальные должности, налоговых льгот, природопользования, лесного, земельного, водного, градостроительного, жилищного законодательства, законодательства об охране окружающей среды;</w:t>
      </w:r>
    </w:p>
    <w:p w:rsidR="00D757FD" w:rsidRPr="008A2FB3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 xml:space="preserve">- проекты правовых актов главы Администрации </w:t>
      </w:r>
      <w:r w:rsidR="008A2FB3" w:rsidRPr="008A2FB3">
        <w:rPr>
          <w:rFonts w:ascii="Times New Roman" w:hAnsi="Times New Roman"/>
          <w:sz w:val="27"/>
          <w:szCs w:val="27"/>
        </w:rPr>
        <w:t>Ключевский</w:t>
      </w:r>
      <w:r w:rsidRPr="008A2FB3">
        <w:rPr>
          <w:rFonts w:ascii="Times New Roman" w:hAnsi="Times New Roman"/>
          <w:sz w:val="27"/>
          <w:szCs w:val="27"/>
        </w:rPr>
        <w:t xml:space="preserve"> сельсовет в сфере муниципальной собственности, земельного, градостроительного, жилищного законодательства. </w:t>
      </w:r>
    </w:p>
    <w:p w:rsidR="00D757FD" w:rsidRPr="008A2FB3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>В  иных случаях решение о проведении антикоррупционной экспертизы проекта муниципального правового акта принимается руководителем  органа  местного самоуправления, в компетенцию которого входит рассмотрение принятие проекта.</w:t>
      </w:r>
    </w:p>
    <w:p w:rsidR="00D757FD" w:rsidRPr="008A2FB3" w:rsidRDefault="00D757FD" w:rsidP="00D757FD">
      <w:pPr>
        <w:numPr>
          <w:ilvl w:val="0"/>
          <w:numId w:val="2"/>
        </w:num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>Решение о проведении антикоррупционной экспертизы</w:t>
      </w:r>
    </w:p>
    <w:p w:rsidR="00D757FD" w:rsidRPr="008A2FB3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 xml:space="preserve">действующего муниципального нормативного правового акта, изданного Советом депутатов,  принимается Советом депутатов или главой Администрации МО </w:t>
      </w:r>
      <w:r w:rsidR="008A2FB3" w:rsidRPr="008A2FB3">
        <w:rPr>
          <w:rFonts w:ascii="Times New Roman" w:hAnsi="Times New Roman"/>
          <w:sz w:val="27"/>
          <w:szCs w:val="27"/>
        </w:rPr>
        <w:t>Ключевский</w:t>
      </w:r>
      <w:r w:rsidRPr="008A2FB3">
        <w:rPr>
          <w:rFonts w:ascii="Times New Roman" w:hAnsi="Times New Roman"/>
          <w:sz w:val="27"/>
          <w:szCs w:val="27"/>
        </w:rPr>
        <w:t xml:space="preserve"> сельсовет, по предложению депутата Совета депутатов, главы Администрации МО </w:t>
      </w:r>
      <w:r w:rsidR="008A2FB3" w:rsidRPr="008A2FB3">
        <w:rPr>
          <w:rFonts w:ascii="Times New Roman" w:hAnsi="Times New Roman"/>
          <w:sz w:val="27"/>
          <w:szCs w:val="27"/>
        </w:rPr>
        <w:t>Ключевский</w:t>
      </w:r>
      <w:r w:rsidRPr="008A2FB3">
        <w:rPr>
          <w:rFonts w:ascii="Times New Roman" w:hAnsi="Times New Roman"/>
          <w:sz w:val="27"/>
          <w:szCs w:val="27"/>
        </w:rPr>
        <w:t xml:space="preserve"> сельсовет,</w:t>
      </w:r>
      <w:r w:rsidR="008A2FB3" w:rsidRPr="008A2FB3">
        <w:rPr>
          <w:rFonts w:ascii="Times New Roman" w:hAnsi="Times New Roman"/>
          <w:sz w:val="27"/>
          <w:szCs w:val="27"/>
        </w:rPr>
        <w:t xml:space="preserve"> главы администрации Ключевский сельсовет</w:t>
      </w:r>
      <w:r w:rsidRPr="008A2FB3">
        <w:rPr>
          <w:rFonts w:ascii="Times New Roman" w:hAnsi="Times New Roman"/>
          <w:sz w:val="27"/>
          <w:szCs w:val="27"/>
        </w:rPr>
        <w:t xml:space="preserve">  или прокуратура района.</w:t>
      </w:r>
    </w:p>
    <w:p w:rsidR="00D757FD" w:rsidRPr="008A2FB3" w:rsidRDefault="00D757FD" w:rsidP="00D757FD">
      <w:pPr>
        <w:numPr>
          <w:ilvl w:val="0"/>
          <w:numId w:val="2"/>
        </w:num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>Решение о проведении антикоррупционной экспертизы действующих</w:t>
      </w:r>
    </w:p>
    <w:p w:rsidR="00D757FD" w:rsidRPr="008A2FB3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 xml:space="preserve">правовых актов главы Администрации </w:t>
      </w:r>
      <w:r w:rsidR="008A2FB3" w:rsidRPr="008A2FB3">
        <w:rPr>
          <w:rFonts w:ascii="Times New Roman" w:hAnsi="Times New Roman"/>
          <w:sz w:val="27"/>
          <w:szCs w:val="27"/>
        </w:rPr>
        <w:t>Ключевский</w:t>
      </w:r>
      <w:r w:rsidRPr="008A2FB3">
        <w:rPr>
          <w:rFonts w:ascii="Times New Roman" w:hAnsi="Times New Roman"/>
          <w:sz w:val="27"/>
          <w:szCs w:val="27"/>
        </w:rPr>
        <w:t xml:space="preserve"> сельсовет принимается  главой местной Администрации по собственной инициативе, по предложению  Совета депутатов или главы Администрации МО Беляевский сельсовет, прокурора района.</w:t>
      </w:r>
    </w:p>
    <w:p w:rsidR="00D757FD" w:rsidRPr="008A2FB3" w:rsidRDefault="00D757FD" w:rsidP="00D757FD">
      <w:pPr>
        <w:numPr>
          <w:ilvl w:val="0"/>
          <w:numId w:val="2"/>
        </w:num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>Проведение антикоррупционной экспертизы возлагается на</w:t>
      </w:r>
    </w:p>
    <w:p w:rsidR="00D757FD" w:rsidRPr="008A2FB3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>юридическую службу органа  местного самоуправления, принявшего муниципальный правовой  акт или рассматривающего проект муниципального правового акта. Антикоррупционная экспертиза проводится в соответствии с Методическими рекомендациями по оценке коррупциогенности правовых актов органов  местного самоуправления муниципального образования депутатов  и их проектов.</w:t>
      </w:r>
    </w:p>
    <w:p w:rsidR="00D757FD" w:rsidRPr="008A2FB3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7"/>
          <w:szCs w:val="27"/>
        </w:rPr>
      </w:pPr>
      <w:r w:rsidRPr="008A2FB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spacing w:after="0" w:line="240" w:lineRule="auto"/>
        <w:ind w:right="-6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Приложение к Порядку проведения                                                                            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A2FB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антикоррупционной экспертизы   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A2FB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правовых актов местного 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8A2FB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самоуправления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</w:p>
    <w:p w:rsidR="00D757FD" w:rsidRDefault="00D757FD" w:rsidP="00D757FD">
      <w:pPr>
        <w:spacing w:after="0" w:line="240" w:lineRule="auto"/>
        <w:ind w:left="1080" w:right="-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оценке коррупциогенности правовых актов МО  </w:t>
      </w:r>
      <w:r w:rsidR="008A2FB3">
        <w:rPr>
          <w:rFonts w:ascii="Times New Roman" w:hAnsi="Times New Roman"/>
          <w:b/>
          <w:sz w:val="28"/>
          <w:szCs w:val="28"/>
        </w:rPr>
        <w:t>Ключевский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их проектов</w:t>
      </w:r>
    </w:p>
    <w:p w:rsidR="00D757FD" w:rsidRDefault="008A2FB3" w:rsidP="008A2FB3">
      <w:pPr>
        <w:spacing w:after="0" w:line="240" w:lineRule="auto"/>
        <w:ind w:left="1800" w:right="-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757FD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Настоящие Методические рекомендации по оценке коррупциогенности правовых         актов органов местного самоуправления муниципального образования </w:t>
      </w:r>
      <w:r w:rsidR="008A2FB3">
        <w:rPr>
          <w:rFonts w:ascii="Times New Roman" w:hAnsi="Times New Roman"/>
          <w:sz w:val="28"/>
          <w:szCs w:val="28"/>
        </w:rPr>
        <w:t>Ключевский</w:t>
      </w:r>
      <w:r>
        <w:rPr>
          <w:rFonts w:ascii="Times New Roman" w:hAnsi="Times New Roman"/>
          <w:sz w:val="28"/>
          <w:szCs w:val="28"/>
        </w:rPr>
        <w:t xml:space="preserve"> сельсовет  и их проектов (далее -  рекомендации) призваны оказать  помощь работникам юридических служб органов местного самоуправления муниципального образования в оценке (правовой экспертизе) готовящихся к принятию и действующих правовых актов с целью выявления в них положений, которые могут вызвать коррупционные действия и решения субъектов правоприменения.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</w:p>
    <w:p w:rsidR="00D757FD" w:rsidRDefault="008A2FB3" w:rsidP="00D757FD">
      <w:pPr>
        <w:spacing w:after="0" w:line="240" w:lineRule="auto"/>
        <w:ind w:left="1800" w:right="-6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D757FD">
        <w:rPr>
          <w:rFonts w:ascii="Times New Roman" w:hAnsi="Times New Roman"/>
          <w:b/>
          <w:sz w:val="28"/>
          <w:szCs w:val="28"/>
        </w:rPr>
        <w:t>. Оценка коррупционного проекта правового акта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Определение коррупциогенности проекта правового акта производится в ходе правовой экспертизы  и наряду с анализом содержащих в нем норм включает оценку целей, задач, предмета правового регулирования, формы (юридического статуса)  акта, компетенции принявшего акта(должностного лица)  с точки зрения выявления условий для коррупционных действий  и решений. 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Конкретными коррупционными факторами, содержащимися в проектах правовых актов, являются: необоснованно широкие пределы усмотрения для органа местного самоуправления, их должностных лиц  или иных субъектов правоприменения в связи с реализацией компетенции; наличия явных пробелов в установлении положений, отражающих полномочия органа местного самоуправления, их должностных лиц или иных субъектов правоприменения; нарушение единства прав и обязанностей  должностных лиц,  муниципальных служащих, руководителей коммерческой или иной организации; наличие одинаковых полномочий  у субъектов правоприменения одного и того же органа (организации) без четкого разграничения их компетенции; отсутствие специальных запретов (ограничений) для  должностных лиц,  муниципальных служащих,  руководителей коммерческой или иной организации; отсутствие  положений об ответственности  должностных лиц  или иных субъектов правоприменения; установление явно завышенных требований, предъявляемых к гражданину или юридическому лицу, которые необходимы  для предоставления им конкретного права; использование двусмысленных или неустоявшихся терминов, формулировок с неясным содержанием; отсутствие  положений о порядке обжалования решений (действий) субъектов правоприменения и процедуре их рассмотрения вышестоящей  инстанцией; отсутствие конкурсных процедур, если они явно целесообразны; наличие очевидных противоречий (коллизий) между правовыми  нормами одного акта </w:t>
      </w:r>
      <w:r>
        <w:rPr>
          <w:rFonts w:ascii="Times New Roman" w:hAnsi="Times New Roman"/>
          <w:sz w:val="28"/>
          <w:szCs w:val="28"/>
        </w:rPr>
        <w:lastRenderedPageBreak/>
        <w:t>(внутренних противоречий) или нормами различных актов; использование норм с бланкетной(отсылочной) диспозицией при возможности сформулировать конкретное нормативное предписание.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Наличие в проекте правового акта любого из этих недостатков (коррупционных факторов) свидетельствует о том, что его качество требует улучшения путем устранения соответствующих положений на стадии обсуждения проекта. Однако при правовой экспертизе проекта все его положения должны оцениваться во взаимосвязи, поэтому наличие в нем отдельных недостатков, способных вызвать коррупционные проявления, не может служить безусловным формальным основанием для его отклонения.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Вместе с тем, в случае принятия правового акта, в котором содержатся коррупционные факторы, реализация этих положений субъектами  правоприменения в первую очередь должна стать предметом антикоррупционного мониторинга.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</w:p>
    <w:p w:rsidR="00D757FD" w:rsidRDefault="008A2FB3" w:rsidP="008A2FB3">
      <w:pPr>
        <w:spacing w:after="0" w:line="240" w:lineRule="auto"/>
        <w:ind w:right="-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="00D757FD">
        <w:rPr>
          <w:rFonts w:ascii="Times New Roman" w:hAnsi="Times New Roman"/>
          <w:b/>
          <w:sz w:val="28"/>
          <w:szCs w:val="28"/>
        </w:rPr>
        <w:t>.Содержание коррупционных факторов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b/>
          <w:sz w:val="28"/>
          <w:szCs w:val="28"/>
        </w:rPr>
      </w:pP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Необоснованно широкие пределы усмотрения органа местного самоуправления в связи с  реализацией компетенции.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Исполнительно - распорядительная деятельность невозможна без наличия свободного усмотрения  субъектов  правоприменения,  реализующих собственную  компетенцию или компетенцию органа местного самоуправления,  коммерческой и некоммерческой организации. Их  полномочия не всегда могут быть установлены предельно четко и  в зависимости от складывающихся условий в пределах, дозволенных законодательством, они руководствуются собственным  усмотрением.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Поэтому когда правовой акт предоставляет субъекту правоприменения несколько возможных вариантов решений (действий) без точного определения оснований для принятия одного из них, возникают условия для коррупционных  проявлений.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Таким образом, необоснованно широкие пределы свободного усмотрения субъектов правоприменения должны быть ограничены. Например, в правовом акте по возможности следует установить четкие критерии для применения санкции, которые существенно различаются между собой по степени тяжести; указать точно, какие варианты решений охватывает компетенция органа (должностного лица, руководителя  коммерческой организации), каковы основания и условия принятия того или иного решения.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Наличие явных пробелов в установлении положений, отражающих полномочия органа местного самоуправления, их должностных  лиц или иных субъектов правоприменения.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Недостаточность норм, которые регламентируют компетенцию указанных органов и субъектов правоприменения ( права, обязанности, цели, задачи и основные направления их деятельности), создает возможность для произвольной трактовки их полномочий с целью извлечения незаконной выгоды, позволяет им самостоятельно устанавливать объем своих прав и </w:t>
      </w:r>
      <w:r>
        <w:rPr>
          <w:rFonts w:ascii="Times New Roman" w:hAnsi="Times New Roman"/>
          <w:sz w:val="28"/>
          <w:szCs w:val="28"/>
        </w:rPr>
        <w:lastRenderedPageBreak/>
        <w:t>обязанностей, принимать произвольные решения, вторгаться в компетенцию уполномоченных органов и их должностных  лиц, руководителей  коммерческой или  некоммерческой организации.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учетом этого проекта правового акта должен всецело отражать должностных лиц, органов управления и руководителей  коммерческой или иной организации. Если реализация этого требования в проекте невозможна или нецелесообразна, то  в нем должно содержаться положение  разработке проектов соответствующих правовых актов,  которые необходимы для его реализации (с указанием их характера и сроков подготовки).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Если проект правового акта признает утратившими силу ранее действующие активы          (отдельные их положения), возникновение пробела  в правовом регулировании наиболее вероятна. В этой связи необходимо выяснить имеется ли потребность в подготовке проектов соответствующих правовых актов, устраняющих правовые проблемы или необходимых для реализации базового законопроекта, запланированы ли их разработка  и принятие в оптимальные сроки.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3.3 Нарушение единства прав и обязанностей должностных  лиц, муниципальных служащих, руководителей  коммерческой или  иной организации.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Права и обязанности муниципальных органов, их  должностных  лиц, органов управления и руководителей  коммерческой или  иной организации тесно взаимосвязаны  и в совокупности образуют полномочие. Поэтому при оценке проекта правового акта необходимо проследить, чтобы фиксация полномочий  органа («может и должен») не подменялась перечнем его права («может», « вправе», и т.п., но не должен). В результате этого исполнение служебных обязанностей субъектом правоприменения становится произвольным, а при наличии корыстной или иной личной заинтересованности ведет к коррупционным проявлениям.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Следовательно, в проекте правового акта недопустима подмена терминов, обозначающих одновременно возможность и обязательность действий    субъекта правоприменения (« осуществляет», «рассматривает», «принимает» и т.п.) , терминами, отражающими одну лишь возможность решения или действия («может», « вправе», и т.д.).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Наряду с этим в правовом акте должна быть установлена четкая связь между зафиксированным в нем субъективными правами гражданина,  правами юридического лица и соответствующими обязанностями муниципального органа, что позволит исключить отказ в реализации их прав под предлогом отсутствия законных полномочий.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 Наличие одинаковых полномочий у субъектов  правоприменения одного и того же органа (организации) без четкого разграничения их компетенции.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за принятие того или иного решения отвечают несколько должностных лиц одного и того же муниципального органа, руководителей  коммерческой или  иной организации при этом отсутствует четкое разграничение их компетенции, то, как правило, такое дублирование полномочий создает условия для злоупотребления   служебным положением.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С учетом этого снижению коррупциогенности проекта правового акта служит закрепления в нем принципа « одного окна», когда все необходимые согласования для вынесения окончательного решения по заявлению заинтересованного физического или юридического  лица служащие муниципального органа осуществляют самостоятельно.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 Отсутствие специальных запретов (ограничений) для должностных  лиц, муниципальных служащих, руководителей  коммерческой или  иной организации.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необходимых случаях проект правового акта в целях снижения коррупциогенности должен содержать социальные ограничения и запреты для субъектов правоприменения.  Например, запрет муниципальным служащим осуществлять от имени муниципального образования  деятельность, связанную с имущественными и финансовыми отношениями.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этом установление запретов (ограничений в правах) должно производиться нормами закона;  муниципальный правовой акт может лишь конкретизировать законодательно установленные запреты и ограничения.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  Отсутствие положений об ответственности должностных  лиц, иных субъектов правоприменения.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Если в проекте содержатся предписания, устанавливающие обязанности должностных  лиц, муниципальных служащих, руководителей муниципальных коммерческих и некоммерческих организации, то в нем должны быть указаны санкции за их неисполнение ( при условии, что такие санкции отсутствуют в действующем законодательстве). Если же отсутствующие санкции или вид ответственности ( уголовная, административная, гражданско – правовая, иная) пр.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 Установление явно завышенных требований, предъявляемых гражданину или юридическому лицу, которые необходимы для предоставления им конкретного права.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Если требования, необходимые для реализации гражданином  или юридическим  лицом  своего субъективного права, согласно проекту чрезмерно завышены, явно входят за разумно допустимый уровень, между заинтересованными физическими или юридическими  лицами и уполномоченными субъектами  правоприменения неизбежно возникают отношения, основанные на проявлениях коррупции.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Завышение требований чаще всего носит завуалированный характер и нередко связано с характеристикой оснований для отказа заинтересованному лицу реализации его субъективного права ( например, приведен « открытый» перечень таких оснований; основанием для отказа выступает «представление сведений,  несоответствующий действительности», т.е. без указания, в чем именно это выражается, или «представление сведений не в полном объеме»  т.е. без конкретизации сведений, отсутствие которых исключает положительное решение вопроса)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 Использование  двусмысленных или неустоявшихся терминов, формулировок с неясным содержанием.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Такие дефекты проекта правового акта могут обусловить произвольное применение   его норм, в том числе связанное с   коррупционными проявлениями.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Следует иметь в виду, что в наибольшей степени коррупции способствуют неконкретные нормы, регулирующие вопросы юридической ответственности, нормы с нечетким указанием условий, при которых субъект правоприменения правомочен принимать определенные решения, а также содержащие отсылку к мнимым регламентам  (например «в случае необходимости», « при наличии достаточных оснований», «согласно установленному порядку», хотя он отсутствует)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Источником коррупционных проявлений могут стать положения проекта, допускающие расширительное толкование компетенции уполномоченного органа (должностного лица, руководителя коммерческой организации) при наличии формулировок типа « принимает решение по отдельным вопросам», «по ряду вопросов вправе принимать решения единолично», «обладает иными полномочиями».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 Отсутствие положений о порядке обжалования решений (действий) субъектов правоприменения и о процедуре их рассмотрения вышестоящей инстанцией.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 называемые административные процедуры, устанавливающие порядок обжалования решений (действий) субъектов правоприменения и их рассмотрения вышестоящей инстанцией - важная часть правового регулирования. Если соответствующие процессуальные (регламентные)  нормы отсутствуют в процессуальном  и ином законодательстве Российской Федерации, то порядок обжалования управленческих решений (действий) субъектов правоприменения должен получить  соответствующее нормативное закрепление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 отсутствии в проекте  правового акта норм о порядке принятия решений субъектом правоприменения  процедуре обжалования его решений (действий) и принятия окончательного возникает риск произвольных управленческий актов и, как  следствие этого,- коррупционные проявления.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Напротив,  коррупциогенность  проекта акта снижается, если в нем установлен четкий порядок принятия решения субъектом правоприменения, основание и процедура его пересмотра вышестоящей инстанцией в случае несогласия заинтересованного  физического и юридического лица  с принятым решением ( управленческим актом).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 Отсутствие конкурсных процедур, если они явно целесообразны.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Реализация некоторых видов полномочий (в частности, разрешительных) предполагает наличие состязательных процедур с участием заинтересованных граждан (юридических лиц) претендующих на предоставление определенного права. Проведение аукционов, конкурсов снижает возможность субъективного подхода  уполномоченного субъекта (например, муниципального служащего) в выборе наиболее достойного из заинтересованных участников.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Напротив, при отсутствии в  правовом акте конкурсных процедур. Когда на получение оперативного права претендует несколько лиц, увеличивается риск  коррупционных проявлений.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 Наличие очевидных противоречий  (коллизий) между правовыми нормами одного и того же или различных правовых актов.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Коллизии могут возникать между нормами одного и того же проекта, равными по юридической силе  правовыми актами, между актами  разного уровня и разных сфер правового регулирования. Будучи явным недостатка правового регулирования, коллизии должны устраняться в ходе нормотворческой деятельности путем отмены  или изменения противоречащих друг другу нормативных предписаний.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Для предотвращения возникновения коллизий следует выяснить, не противоречат ли нормы проекта акта положениям ранее принятых  и сохраняющих свою юридическую силу   (действующих) правовых актов. Поэтому важно изучить все ранее принятые по данному вопросу правовые акты ( с учетом внесенных в них изменений) и обеспечить согласование с ними норм проекта.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 Использование норм с бланкетной (отсылочной) диспозицией при возможности сформулировать конкретное предписание.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целях использование бланкетных  (отсылочных) диспозиций правовых норм не может рассматриваться как явный недостаток законодательной техники. Однако если есть возможность в четкой форме сформулировать предписание, из проекта желательно исключить общие и  не вполне  определенные формулировки и отсылки к другим правовым актам ( например,  конкретно указать полномочия служащих, а не подразумевать их или исходить из того, что они аналогичны полномочиям служащих других категорий; четко сформулировать признаки правонарушения, а не просто ограничиться одним его названием ).</w:t>
      </w:r>
    </w:p>
    <w:p w:rsidR="00D757FD" w:rsidRDefault="008A2FB3" w:rsidP="008A2FB3">
      <w:pPr>
        <w:spacing w:after="0" w:line="240" w:lineRule="auto"/>
        <w:ind w:right="-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="00D757FD">
        <w:rPr>
          <w:rFonts w:ascii="Times New Roman" w:hAnsi="Times New Roman"/>
          <w:b/>
          <w:sz w:val="28"/>
          <w:szCs w:val="28"/>
        </w:rPr>
        <w:t>. Заключение по итогам антикоррупционной экспертизы правового акта или его проекта</w:t>
      </w:r>
    </w:p>
    <w:p w:rsidR="00D757FD" w:rsidRDefault="008A2FB3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 w:rsidRPr="008A2FB3">
        <w:rPr>
          <w:rFonts w:ascii="Times New Roman" w:hAnsi="Times New Roman"/>
          <w:b/>
          <w:sz w:val="28"/>
          <w:szCs w:val="28"/>
        </w:rPr>
        <w:t xml:space="preserve">         </w:t>
      </w:r>
      <w:r w:rsidR="00D757FD">
        <w:rPr>
          <w:rFonts w:ascii="Times New Roman" w:hAnsi="Times New Roman"/>
          <w:b/>
          <w:sz w:val="28"/>
          <w:szCs w:val="28"/>
        </w:rPr>
        <w:t xml:space="preserve"> </w:t>
      </w:r>
      <w:r w:rsidR="00D757FD">
        <w:rPr>
          <w:rFonts w:ascii="Times New Roman" w:hAnsi="Times New Roman"/>
          <w:sz w:val="28"/>
          <w:szCs w:val="28"/>
        </w:rPr>
        <w:t>По результатам экспертизы коррупциогенности правового акта или его проекта составляется заключение.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заключении отражаются следующие вопросы:</w:t>
      </w:r>
    </w:p>
    <w:p w:rsidR="00D757FD" w:rsidRDefault="00D757FD" w:rsidP="00D757FD">
      <w:pPr>
        <w:pStyle w:val="a3"/>
        <w:numPr>
          <w:ilvl w:val="0"/>
          <w:numId w:val="3"/>
        </w:num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анализируемом правовом акте  превентивных антикоррупционных</w:t>
      </w:r>
    </w:p>
    <w:p w:rsidR="00D757FD" w:rsidRDefault="00D757FD" w:rsidP="00D757FD">
      <w:pPr>
        <w:pStyle w:val="a3"/>
        <w:spacing w:after="0" w:line="240" w:lineRule="auto"/>
        <w:ind w:left="0"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 и рекомендации по их включению;</w:t>
      </w:r>
    </w:p>
    <w:p w:rsidR="00D757FD" w:rsidRDefault="00D757FD" w:rsidP="00D757FD">
      <w:pPr>
        <w:pStyle w:val="a3"/>
        <w:numPr>
          <w:ilvl w:val="0"/>
          <w:numId w:val="3"/>
        </w:num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анализируемом  акте норм, содержащих   коррупционные факторы</w:t>
      </w:r>
    </w:p>
    <w:p w:rsidR="00D757FD" w:rsidRDefault="00D757FD" w:rsidP="00D757FD">
      <w:pPr>
        <w:pStyle w:val="a3"/>
        <w:spacing w:after="0" w:line="240" w:lineRule="auto"/>
        <w:ind w:left="0"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настоящими рекомендациями; обоснование их корупционности;</w:t>
      </w:r>
    </w:p>
    <w:p w:rsidR="00D757FD" w:rsidRDefault="00D757FD" w:rsidP="00D757FD">
      <w:pPr>
        <w:pStyle w:val="a3"/>
        <w:numPr>
          <w:ilvl w:val="0"/>
          <w:numId w:val="3"/>
        </w:num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по изменению формулировок правовых норм для устранения</w:t>
      </w:r>
    </w:p>
    <w:p w:rsidR="00D757FD" w:rsidRDefault="00D757FD" w:rsidP="00D757FD">
      <w:pPr>
        <w:pStyle w:val="a3"/>
        <w:spacing w:after="0" w:line="240" w:lineRule="auto"/>
        <w:ind w:left="0"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их коррупциогенности.</w:t>
      </w:r>
    </w:p>
    <w:p w:rsidR="00D757FD" w:rsidRDefault="00D757FD" w:rsidP="00D757FD">
      <w:pPr>
        <w:spacing w:after="0" w:line="240" w:lineRule="auto"/>
        <w:ind w:left="360"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по итогам антикоррупционной экспертизы составляется в форме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Отдельного документа или отдельным разделом в заключении о законности (незаконности) правового акта или его проекта.</w:t>
      </w:r>
    </w:p>
    <w:p w:rsidR="00D757FD" w:rsidRDefault="00D757FD" w:rsidP="008A2FB3">
      <w:pPr>
        <w:spacing w:after="0" w:line="240" w:lineRule="auto"/>
        <w:ind w:left="360"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Приведенный в настоящих рекомендациях перечень ко</w:t>
      </w:r>
      <w:r w:rsidR="008A2FB3">
        <w:rPr>
          <w:rFonts w:ascii="Times New Roman" w:hAnsi="Times New Roman"/>
          <w:sz w:val="28"/>
          <w:szCs w:val="28"/>
        </w:rPr>
        <w:t>ррупционных</w:t>
      </w:r>
      <w:r w:rsidR="008A2FB3" w:rsidRPr="008A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факторов</w:t>
      </w:r>
      <w:r w:rsidR="008A2FB3" w:rsidRPr="008A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является исчерпывающим. В ходе экспертизы лицо, составляющее заключение, в  праве выявить любые другие факторы, способствующие, на его взгляд, коррупционными нарушениями в данной сфере. Эти факторы  и рекомендации по их преодолению также отражаются в заключении.</w:t>
      </w:r>
    </w:p>
    <w:p w:rsidR="00D757FD" w:rsidRDefault="00D757FD" w:rsidP="00D757FD">
      <w:pPr>
        <w:spacing w:after="0" w:line="240" w:lineRule="auto"/>
        <w:ind w:right="-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A116E" w:rsidRDefault="00BA116E"/>
    <w:sectPr w:rsidR="00BA116E" w:rsidSect="00D757F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6DD"/>
    <w:multiLevelType w:val="hybridMultilevel"/>
    <w:tmpl w:val="124C6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13730"/>
    <w:multiLevelType w:val="hybridMultilevel"/>
    <w:tmpl w:val="92E273B0"/>
    <w:lvl w:ilvl="0" w:tplc="638E9E0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11A15"/>
    <w:multiLevelType w:val="hybridMultilevel"/>
    <w:tmpl w:val="DF844EA2"/>
    <w:lvl w:ilvl="0" w:tplc="2EE42B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757FD"/>
    <w:rsid w:val="001F29E3"/>
    <w:rsid w:val="002F3458"/>
    <w:rsid w:val="008A2FB3"/>
    <w:rsid w:val="00964965"/>
    <w:rsid w:val="00985FD1"/>
    <w:rsid w:val="00BA116E"/>
    <w:rsid w:val="00D7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7FD"/>
    <w:pPr>
      <w:ind w:left="720"/>
      <w:contextualSpacing/>
    </w:pPr>
  </w:style>
  <w:style w:type="paragraph" w:customStyle="1" w:styleId="3">
    <w:name w:val="заголовок 3"/>
    <w:basedOn w:val="a"/>
    <w:next w:val="a"/>
    <w:rsid w:val="00D757FD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bCs/>
      <w:sz w:val="32"/>
      <w:szCs w:val="32"/>
    </w:rPr>
  </w:style>
  <w:style w:type="paragraph" w:styleId="a4">
    <w:name w:val="No Spacing"/>
    <w:uiPriority w:val="1"/>
    <w:qFormat/>
    <w:rsid w:val="00D757F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2011-08-04T05:06:00Z</cp:lastPrinted>
  <dcterms:created xsi:type="dcterms:W3CDTF">2019-10-29T06:29:00Z</dcterms:created>
  <dcterms:modified xsi:type="dcterms:W3CDTF">2019-10-29T06:29:00Z</dcterms:modified>
</cp:coreProperties>
</file>